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68E" w:rsidRPr="00880318" w:rsidRDefault="00D95984" w:rsidP="0080068E">
      <w:pPr>
        <w:pStyle w:val="Heading1"/>
        <w:spacing w:before="0" w:after="240"/>
        <w:rPr>
          <w:rFonts w:asciiTheme="minorHAnsi" w:eastAsia="Times New Roman" w:hAnsiTheme="minorHAnsi" w:cstheme="minorHAnsi"/>
          <w:color w:val="auto"/>
          <w:sz w:val="36"/>
          <w:szCs w:val="32"/>
        </w:rPr>
      </w:pPr>
      <w:bookmarkStart w:id="0" w:name="_Ref437255924"/>
      <w:r w:rsidRPr="00880318">
        <w:rPr>
          <w:rFonts w:asciiTheme="minorHAnsi" w:eastAsia="Times New Roman" w:hAnsiTheme="minorHAnsi" w:cstheme="minorHAnsi"/>
          <w:color w:val="auto"/>
          <w:sz w:val="36"/>
          <w:szCs w:val="32"/>
        </w:rPr>
        <w:t>Appendix</w:t>
      </w:r>
      <w:r w:rsidR="0080068E" w:rsidRPr="00880318">
        <w:rPr>
          <w:rFonts w:asciiTheme="minorHAnsi" w:eastAsia="Times New Roman" w:hAnsiTheme="minorHAnsi" w:cstheme="minorHAnsi"/>
          <w:color w:val="auto"/>
          <w:sz w:val="36"/>
          <w:szCs w:val="32"/>
        </w:rPr>
        <w:t xml:space="preserve"> </w:t>
      </w:r>
      <w:bookmarkEnd w:id="0"/>
      <w:r w:rsidR="00686E81" w:rsidRPr="00880318">
        <w:rPr>
          <w:rFonts w:asciiTheme="minorHAnsi" w:eastAsia="Times New Roman" w:hAnsiTheme="minorHAnsi" w:cstheme="minorHAnsi"/>
          <w:color w:val="auto"/>
          <w:sz w:val="36"/>
          <w:szCs w:val="32"/>
        </w:rPr>
        <w:t>B</w:t>
      </w:r>
      <w:r w:rsidR="0080068E" w:rsidRPr="00880318">
        <w:rPr>
          <w:rFonts w:asciiTheme="minorHAnsi" w:eastAsia="Times New Roman" w:hAnsiTheme="minorHAnsi" w:cstheme="minorHAnsi"/>
          <w:color w:val="auto"/>
          <w:sz w:val="36"/>
          <w:szCs w:val="32"/>
        </w:rPr>
        <w:t>. Elicitation questionnaire</w:t>
      </w:r>
    </w:p>
    <w:p w:rsidR="0080068E" w:rsidRPr="00880318" w:rsidRDefault="0080068E" w:rsidP="00504614">
      <w:pPr>
        <w:pStyle w:val="Heading1"/>
        <w:spacing w:before="0" w:after="240"/>
        <w:rPr>
          <w:rFonts w:asciiTheme="minorHAnsi" w:hAnsiTheme="minorHAnsi" w:cstheme="minorHAnsi"/>
          <w:color w:val="auto"/>
          <w:sz w:val="20"/>
        </w:rPr>
      </w:pPr>
      <w:r w:rsidRPr="00880318">
        <w:rPr>
          <w:rFonts w:asciiTheme="minorHAnsi" w:eastAsia="Times New Roman" w:hAnsiTheme="minorHAnsi" w:cstheme="minorHAnsi"/>
          <w:color w:val="auto"/>
          <w:sz w:val="20"/>
          <w:szCs w:val="32"/>
        </w:rPr>
        <w:t>Questionnaire on differences between LSAC non-respondents and respondents</w:t>
      </w:r>
    </w:p>
    <w:p w:rsidR="0080068E" w:rsidRPr="00880318" w:rsidRDefault="0080068E" w:rsidP="0080068E">
      <w:pPr>
        <w:rPr>
          <w:rFonts w:cstheme="minorHAnsi"/>
          <w:b/>
          <w:sz w:val="20"/>
        </w:rPr>
      </w:pPr>
      <w:r w:rsidRPr="00880318">
        <w:rPr>
          <w:rFonts w:eastAsia="Times New Roman" w:cstheme="minorHAnsi"/>
          <w:b/>
          <w:bCs/>
          <w:sz w:val="20"/>
          <w:szCs w:val="28"/>
        </w:rPr>
        <w:t>Research objective</w:t>
      </w:r>
    </w:p>
    <w:p w:rsidR="0080068E" w:rsidRPr="00880318" w:rsidRDefault="0080068E" w:rsidP="0080068E">
      <w:pPr>
        <w:spacing w:line="360" w:lineRule="auto"/>
        <w:jc w:val="both"/>
        <w:rPr>
          <w:rFonts w:cstheme="minorHAnsi"/>
          <w:sz w:val="18"/>
        </w:rPr>
      </w:pPr>
      <w:r w:rsidRPr="00880318">
        <w:rPr>
          <w:rFonts w:eastAsia="Times New Roman" w:cstheme="minorHAnsi"/>
          <w:sz w:val="18"/>
          <w:szCs w:val="24"/>
        </w:rPr>
        <w:t>The purpose of our research is to evaluate a statistical appr</w:t>
      </w:r>
      <w:r w:rsidR="00DD1DF8" w:rsidRPr="00880318">
        <w:rPr>
          <w:rFonts w:eastAsia="Times New Roman" w:cstheme="minorHAnsi"/>
          <w:sz w:val="18"/>
          <w:szCs w:val="24"/>
        </w:rPr>
        <w:t>oach called the “delta-adjustment</w:t>
      </w:r>
      <w:r w:rsidRPr="00880318">
        <w:rPr>
          <w:rFonts w:eastAsia="Times New Roman" w:cstheme="minorHAnsi"/>
          <w:sz w:val="18"/>
          <w:szCs w:val="24"/>
        </w:rPr>
        <w:t xml:space="preserve"> method” that can be used for performing sensitivity analyses within the multiple imputation framework. </w:t>
      </w:r>
      <w:proofErr w:type="gramStart"/>
      <w:r w:rsidRPr="00880318">
        <w:rPr>
          <w:rFonts w:eastAsia="Times New Roman" w:cstheme="minorHAnsi"/>
          <w:sz w:val="18"/>
          <w:szCs w:val="24"/>
        </w:rPr>
        <w:t>In particular, we aim to assess this method after implementing the standard multiple imputation procedure for handling missing data, and explore the robustness of inference of the estimated exposure-outcome associations to the scenario where the missing values of a data variable depend on that variable (e.g. mothers are less likely to complete the questions on maternal emotional distress if their levels of distress are high).</w:t>
      </w:r>
      <w:proofErr w:type="gramEnd"/>
    </w:p>
    <w:p w:rsidR="0080068E" w:rsidRPr="00880318" w:rsidRDefault="0080068E" w:rsidP="0080068E">
      <w:pPr>
        <w:rPr>
          <w:rFonts w:cstheme="minorHAnsi"/>
          <w:b/>
          <w:sz w:val="20"/>
        </w:rPr>
      </w:pPr>
      <w:r w:rsidRPr="00880318">
        <w:rPr>
          <w:rFonts w:eastAsia="Times New Roman" w:cstheme="minorHAnsi"/>
          <w:b/>
          <w:bCs/>
          <w:sz w:val="20"/>
          <w:szCs w:val="28"/>
        </w:rPr>
        <w:t>Missing data in Longitudinal Study of Australian Children (LSAC)</w:t>
      </w:r>
    </w:p>
    <w:p w:rsidR="0080068E" w:rsidRPr="00880318" w:rsidRDefault="0080068E" w:rsidP="0080068E">
      <w:pPr>
        <w:spacing w:after="0" w:line="360" w:lineRule="auto"/>
        <w:jc w:val="both"/>
        <w:rPr>
          <w:rFonts w:eastAsia="Microsoft Yi Baiti" w:cstheme="minorHAnsi"/>
          <w:sz w:val="18"/>
        </w:rPr>
      </w:pPr>
      <w:r w:rsidRPr="00880318">
        <w:rPr>
          <w:rFonts w:eastAsia="Times New Roman,Microsoft Yi Ba" w:cstheme="minorHAnsi"/>
          <w:sz w:val="18"/>
          <w:szCs w:val="24"/>
        </w:rPr>
        <w:t>Non-response is a problem in the LSAC dataset with</w:t>
      </w:r>
      <w:r w:rsidRPr="00880318">
        <w:rPr>
          <w:rFonts w:eastAsia="Times New Roman" w:cstheme="minorHAnsi"/>
          <w:sz w:val="18"/>
          <w:szCs w:val="24"/>
        </w:rPr>
        <w:t xml:space="preserve"> missing observations on multiple waves. Our case study uses data from the LSAC kindergarten cohort including waves 1 (4-5 years) and </w:t>
      </w:r>
      <w:proofErr w:type="gramStart"/>
      <w:r w:rsidRPr="00880318">
        <w:rPr>
          <w:rFonts w:eastAsia="Times New Roman" w:cstheme="minorHAnsi"/>
          <w:sz w:val="18"/>
          <w:szCs w:val="24"/>
        </w:rPr>
        <w:t>3</w:t>
      </w:r>
      <w:proofErr w:type="gramEnd"/>
      <w:r w:rsidRPr="00880318">
        <w:rPr>
          <w:rFonts w:eastAsia="Times New Roman" w:cstheme="minorHAnsi"/>
          <w:sz w:val="18"/>
          <w:szCs w:val="24"/>
        </w:rPr>
        <w:t xml:space="preserve"> (8-9 years). </w:t>
      </w:r>
      <w:r w:rsidRPr="00880318">
        <w:rPr>
          <w:rFonts w:eastAsia="Times New Roman,Microsoft Yi Ba" w:cstheme="minorHAnsi"/>
          <w:sz w:val="18"/>
          <w:szCs w:val="24"/>
        </w:rPr>
        <w:t>The percentage of missing observations across variables ranged from 0% to 24%.</w:t>
      </w:r>
    </w:p>
    <w:p w:rsidR="0080068E" w:rsidRPr="00880318" w:rsidRDefault="0080068E" w:rsidP="0080068E">
      <w:pPr>
        <w:spacing w:line="360" w:lineRule="auto"/>
        <w:jc w:val="both"/>
        <w:rPr>
          <w:rFonts w:cstheme="minorHAnsi"/>
          <w:sz w:val="18"/>
        </w:rPr>
      </w:pPr>
      <w:r w:rsidRPr="00880318">
        <w:rPr>
          <w:rFonts w:eastAsia="Times New Roman" w:cstheme="minorHAnsi"/>
          <w:sz w:val="18"/>
          <w:szCs w:val="24"/>
        </w:rPr>
        <w:t xml:space="preserve">The aim of our case study is to estimate the association between maternal emotional distress at pre-school aged children (4-5 years) and the middle childhood </w:t>
      </w:r>
      <w:proofErr w:type="spellStart"/>
      <w:r w:rsidRPr="00880318">
        <w:rPr>
          <w:rFonts w:eastAsia="Times New Roman" w:cstheme="minorHAnsi"/>
          <w:sz w:val="18"/>
          <w:szCs w:val="24"/>
        </w:rPr>
        <w:t>behaviour</w:t>
      </w:r>
      <w:proofErr w:type="spellEnd"/>
      <w:r w:rsidRPr="00880318">
        <w:rPr>
          <w:rFonts w:eastAsia="Times New Roman" w:cstheme="minorHAnsi"/>
          <w:sz w:val="18"/>
          <w:szCs w:val="24"/>
        </w:rPr>
        <w:t xml:space="preserve"> (8-9 years), controlling for potential confounders. </w:t>
      </w:r>
      <w:r w:rsidRPr="00880318">
        <w:rPr>
          <w:rFonts w:eastAsia="Times New Roman,Microsoft Yi Ba" w:cstheme="minorHAnsi"/>
          <w:sz w:val="18"/>
          <w:szCs w:val="24"/>
        </w:rPr>
        <w:t xml:space="preserve">We use multiple imputation (MI) to deal with the missing data. MI may produce biased results if participants with missing observations are systematically different from the participants with observed data, and these differences </w:t>
      </w:r>
      <w:proofErr w:type="gramStart"/>
      <w:r w:rsidRPr="00880318">
        <w:rPr>
          <w:rFonts w:eastAsia="Times New Roman,Microsoft Yi Ba" w:cstheme="minorHAnsi"/>
          <w:sz w:val="18"/>
          <w:szCs w:val="24"/>
        </w:rPr>
        <w:t>cannot be explained</w:t>
      </w:r>
      <w:proofErr w:type="gramEnd"/>
      <w:r w:rsidRPr="00880318">
        <w:rPr>
          <w:rFonts w:eastAsia="Times New Roman,Microsoft Yi Ba" w:cstheme="minorHAnsi"/>
          <w:sz w:val="18"/>
          <w:szCs w:val="24"/>
        </w:rPr>
        <w:t xml:space="preserve"> by the observed data alone. Thus, it is desirable to conduct a sensitivity analysis to allow for systematic differences between non-respondents and respondents.</w:t>
      </w:r>
    </w:p>
    <w:p w:rsidR="0080068E" w:rsidRPr="00880318" w:rsidRDefault="0080068E" w:rsidP="0080068E">
      <w:pPr>
        <w:rPr>
          <w:rFonts w:cstheme="minorHAnsi"/>
          <w:b/>
          <w:sz w:val="20"/>
        </w:rPr>
      </w:pPr>
      <w:r w:rsidRPr="00880318">
        <w:rPr>
          <w:rFonts w:eastAsia="Times New Roman" w:cstheme="minorHAnsi"/>
          <w:b/>
          <w:bCs/>
          <w:sz w:val="20"/>
          <w:szCs w:val="28"/>
        </w:rPr>
        <w:t>Plan</w:t>
      </w:r>
    </w:p>
    <w:p w:rsidR="0080068E" w:rsidRPr="00880318" w:rsidRDefault="0080068E" w:rsidP="0080068E">
      <w:pPr>
        <w:spacing w:before="240" w:line="360" w:lineRule="auto"/>
        <w:jc w:val="both"/>
        <w:rPr>
          <w:rFonts w:eastAsia="Microsoft Yi Baiti" w:cstheme="minorHAnsi"/>
          <w:color w:val="000000" w:themeColor="text1"/>
          <w:sz w:val="18"/>
        </w:rPr>
      </w:pPr>
      <w:r w:rsidRPr="00880318">
        <w:rPr>
          <w:rFonts w:eastAsia="Times New Roman,Microsoft Yi Ba" w:cstheme="minorHAnsi"/>
          <w:sz w:val="18"/>
          <w:szCs w:val="24"/>
        </w:rPr>
        <w:t xml:space="preserve">We wish to use the </w:t>
      </w:r>
      <w:r w:rsidR="00DD1DF8" w:rsidRPr="00880318">
        <w:rPr>
          <w:rFonts w:eastAsia="Times New Roman,Microsoft Yi Ba" w:cstheme="minorHAnsi"/>
          <w:sz w:val="18"/>
          <w:szCs w:val="24"/>
        </w:rPr>
        <w:t>delta-adjustment</w:t>
      </w:r>
      <w:r w:rsidRPr="00880318">
        <w:rPr>
          <w:rFonts w:eastAsia="Times New Roman,Microsoft Yi Ba" w:cstheme="minorHAnsi"/>
          <w:sz w:val="18"/>
          <w:szCs w:val="24"/>
        </w:rPr>
        <w:t xml:space="preserve"> method within the MI framework for conducting sensitivity analyses, and in order to do this we need prior information on the magnitude of the systematic differences between participants with incomplete and complete data. These magnitudes are unidentifiable in practice and </w:t>
      </w:r>
      <w:proofErr w:type="gramStart"/>
      <w:r w:rsidRPr="00880318">
        <w:rPr>
          <w:rFonts w:eastAsia="Times New Roman,Microsoft Yi Ba" w:cstheme="minorHAnsi"/>
          <w:sz w:val="18"/>
          <w:szCs w:val="24"/>
        </w:rPr>
        <w:t>cannot be estimated</w:t>
      </w:r>
      <w:proofErr w:type="gramEnd"/>
      <w:r w:rsidRPr="00880318">
        <w:rPr>
          <w:rFonts w:eastAsia="Times New Roman,Microsoft Yi Ba" w:cstheme="minorHAnsi"/>
          <w:sz w:val="18"/>
          <w:szCs w:val="24"/>
        </w:rPr>
        <w:t xml:space="preserve"> from the observed data. The only principled way to obtain these unknown quantities is to elicit a range of plausible values from subject-matter experts. </w:t>
      </w:r>
    </w:p>
    <w:p w:rsidR="0080068E" w:rsidRPr="00880318" w:rsidRDefault="0080068E" w:rsidP="0080068E">
      <w:pPr>
        <w:rPr>
          <w:rFonts w:cstheme="minorHAnsi"/>
          <w:b/>
        </w:rPr>
      </w:pPr>
      <w:r w:rsidRPr="00880318">
        <w:rPr>
          <w:rFonts w:eastAsia="Times New Roman" w:cstheme="minorHAnsi"/>
          <w:b/>
          <w:bCs/>
          <w:sz w:val="20"/>
          <w:szCs w:val="28"/>
        </w:rPr>
        <w:t>Outline of elicitation task</w:t>
      </w:r>
    </w:p>
    <w:p w:rsidR="0080068E" w:rsidRPr="00880318" w:rsidRDefault="0080068E" w:rsidP="0080068E">
      <w:pPr>
        <w:spacing w:after="0" w:line="360" w:lineRule="auto"/>
        <w:jc w:val="both"/>
        <w:rPr>
          <w:rFonts w:cstheme="minorHAnsi"/>
          <w:sz w:val="18"/>
          <w:szCs w:val="21"/>
          <w:shd w:val="clear" w:color="auto" w:fill="FFFFFF"/>
        </w:rPr>
      </w:pPr>
      <w:r w:rsidRPr="00880318">
        <w:rPr>
          <w:rFonts w:eastAsia="Times New Roman" w:cstheme="minorHAnsi"/>
          <w:sz w:val="18"/>
          <w:szCs w:val="24"/>
          <w:shd w:val="clear" w:color="auto" w:fill="FFFFFF"/>
        </w:rPr>
        <w:t xml:space="preserve">We are interested in the average systematic differences in the total child difficulties (SDQ total score) at 8-9 years, and the proportion of mothers with emotional distress at 4-5 years, between non-respondents and respondents. </w:t>
      </w:r>
    </w:p>
    <w:p w:rsidR="0080068E" w:rsidRPr="00880318" w:rsidRDefault="0080068E" w:rsidP="0080068E">
      <w:pPr>
        <w:spacing w:after="0" w:line="360" w:lineRule="auto"/>
        <w:jc w:val="both"/>
        <w:rPr>
          <w:rFonts w:cstheme="minorHAnsi"/>
          <w:color w:val="000000" w:themeColor="text1"/>
          <w:sz w:val="18"/>
          <w:szCs w:val="24"/>
          <w:shd w:val="clear" w:color="auto" w:fill="FFFFFF"/>
        </w:rPr>
      </w:pPr>
      <w:proofErr w:type="gramStart"/>
      <w:r w:rsidRPr="00880318">
        <w:rPr>
          <w:rFonts w:eastAsia="Times New Roman" w:cstheme="minorHAnsi"/>
          <w:color w:val="000000" w:themeColor="text1"/>
          <w:sz w:val="18"/>
          <w:szCs w:val="24"/>
          <w:shd w:val="clear" w:color="auto" w:fill="FFFFFF"/>
        </w:rPr>
        <w:t>Naturally</w:t>
      </w:r>
      <w:proofErr w:type="gramEnd"/>
      <w:r w:rsidRPr="00880318">
        <w:rPr>
          <w:rFonts w:eastAsia="Times New Roman" w:cstheme="minorHAnsi"/>
          <w:color w:val="000000" w:themeColor="text1"/>
          <w:sz w:val="18"/>
          <w:szCs w:val="24"/>
          <w:shd w:val="clear" w:color="auto" w:fill="FFFFFF"/>
        </w:rPr>
        <w:t xml:space="preserve"> you are not sure, what would be a shift in the mean SDQ total score at 8-9 years or what would be a shift in the proportion of the maternal emotional distress at 4-5 years between the non-respondents and respondents in the study population. However, you might feel that some differences are more plausible than </w:t>
      </w:r>
      <w:proofErr w:type="gramStart"/>
      <w:r w:rsidRPr="00880318">
        <w:rPr>
          <w:rFonts w:eastAsia="Times New Roman" w:cstheme="minorHAnsi"/>
          <w:color w:val="000000" w:themeColor="text1"/>
          <w:sz w:val="18"/>
          <w:szCs w:val="24"/>
          <w:shd w:val="clear" w:color="auto" w:fill="FFFFFF"/>
        </w:rPr>
        <w:t>others</w:t>
      </w:r>
      <w:proofErr w:type="gramEnd"/>
      <w:r w:rsidRPr="00880318">
        <w:rPr>
          <w:rFonts w:eastAsia="Times New Roman" w:cstheme="minorHAnsi"/>
          <w:color w:val="000000" w:themeColor="text1"/>
          <w:sz w:val="18"/>
          <w:szCs w:val="24"/>
          <w:shd w:val="clear" w:color="auto" w:fill="FFFFFF"/>
        </w:rPr>
        <w:t xml:space="preserve">. </w:t>
      </w:r>
    </w:p>
    <w:p w:rsidR="0080068E" w:rsidRPr="00880318" w:rsidRDefault="0080068E" w:rsidP="0080068E">
      <w:pPr>
        <w:spacing w:line="360" w:lineRule="auto"/>
        <w:jc w:val="both"/>
        <w:rPr>
          <w:rFonts w:cstheme="minorHAnsi"/>
          <w:color w:val="000000" w:themeColor="text1"/>
          <w:sz w:val="18"/>
          <w:szCs w:val="24"/>
          <w:shd w:val="clear" w:color="auto" w:fill="FFFFFF"/>
        </w:rPr>
      </w:pPr>
      <w:r w:rsidRPr="00880318">
        <w:rPr>
          <w:rFonts w:eastAsia="Times New Roman" w:cstheme="minorHAnsi"/>
          <w:sz w:val="18"/>
          <w:szCs w:val="24"/>
          <w:shd w:val="clear" w:color="auto" w:fill="FFFFFF"/>
        </w:rPr>
        <w:t>In the next section, we kindly ask</w:t>
      </w:r>
      <w:r w:rsidRPr="00880318">
        <w:rPr>
          <w:rFonts w:eastAsia="Times New Roman" w:cstheme="minorHAnsi"/>
          <w:color w:val="000000" w:themeColor="text1"/>
          <w:sz w:val="18"/>
          <w:szCs w:val="24"/>
          <w:shd w:val="clear" w:color="auto" w:fill="FFFFFF"/>
        </w:rPr>
        <w:t xml:space="preserve"> you to provide a median value, upper and lower quartiles with minimum and maximum values for the distribution of average change </w:t>
      </w:r>
      <w:r w:rsidRPr="00880318">
        <w:rPr>
          <w:rFonts w:eastAsia="Times New Roman" w:cstheme="minorHAnsi"/>
          <w:sz w:val="18"/>
          <w:szCs w:val="24"/>
          <w:shd w:val="clear" w:color="auto" w:fill="FFFFFF"/>
        </w:rPr>
        <w:t>in the SDQ total score at 8-9 years as well as the proportion of maternal emotional distress at 4-5 years, between LSAC participants with missing and observed data.</w:t>
      </w:r>
    </w:p>
    <w:p w:rsidR="0080068E" w:rsidRPr="00880318" w:rsidRDefault="0080068E" w:rsidP="0080068E">
      <w:pPr>
        <w:rPr>
          <w:rFonts w:cstheme="minorHAnsi"/>
          <w:b/>
          <w:sz w:val="20"/>
        </w:rPr>
      </w:pPr>
      <w:r w:rsidRPr="00880318">
        <w:rPr>
          <w:rFonts w:eastAsia="Times New Roman" w:cstheme="minorHAnsi"/>
          <w:b/>
          <w:bCs/>
          <w:sz w:val="20"/>
          <w:szCs w:val="28"/>
        </w:rPr>
        <w:t>Characteristics of SDQ total score at 8-9 years</w:t>
      </w:r>
    </w:p>
    <w:p w:rsidR="0080068E" w:rsidRPr="00880318" w:rsidRDefault="0080068E" w:rsidP="00CE0D7A">
      <w:pPr>
        <w:spacing w:line="360" w:lineRule="auto"/>
        <w:jc w:val="both"/>
        <w:rPr>
          <w:rFonts w:cstheme="minorHAnsi"/>
          <w:color w:val="000000" w:themeColor="text1"/>
          <w:sz w:val="18"/>
          <w:szCs w:val="24"/>
          <w:shd w:val="clear" w:color="auto" w:fill="FFFFFF"/>
        </w:rPr>
      </w:pPr>
      <w:r w:rsidRPr="00880318">
        <w:rPr>
          <w:rFonts w:eastAsia="Times New Roman" w:cstheme="minorHAnsi"/>
          <w:color w:val="000000" w:themeColor="text1"/>
          <w:sz w:val="18"/>
          <w:szCs w:val="24"/>
          <w:shd w:val="clear" w:color="auto" w:fill="FFFFFF"/>
        </w:rPr>
        <w:t xml:space="preserve">The outcome variable is “SDQ total score” at </w:t>
      </w:r>
      <w:r w:rsidRPr="00880318">
        <w:rPr>
          <w:rFonts w:eastAsia="Times New Roman" w:cstheme="minorHAnsi"/>
          <w:sz w:val="18"/>
          <w:szCs w:val="24"/>
          <w:shd w:val="clear" w:color="auto" w:fill="FFFFFF"/>
        </w:rPr>
        <w:t xml:space="preserve">8-9 years </w:t>
      </w:r>
      <w:r w:rsidRPr="00880318">
        <w:rPr>
          <w:rFonts w:eastAsia="Times New Roman" w:cstheme="minorHAnsi"/>
          <w:color w:val="000000" w:themeColor="text1"/>
          <w:sz w:val="18"/>
          <w:szCs w:val="24"/>
          <w:shd w:val="clear" w:color="auto" w:fill="FFFFFF"/>
        </w:rPr>
        <w:t xml:space="preserve">as assessed by social and emotional subscales of the Strengths and Difficulties Questionnaire (SDQ). The SDQ total difficulties score is summed over four subscales relating to conduct, hyperactivity, peer, and emotional problems, with a minimum possible score of </w:t>
      </w:r>
      <w:proofErr w:type="gramStart"/>
      <w:r w:rsidRPr="00880318">
        <w:rPr>
          <w:rFonts w:eastAsia="Times New Roman" w:cstheme="minorHAnsi"/>
          <w:color w:val="000000" w:themeColor="text1"/>
          <w:sz w:val="18"/>
          <w:szCs w:val="24"/>
          <w:shd w:val="clear" w:color="auto" w:fill="FFFFFF"/>
        </w:rPr>
        <w:t>0</w:t>
      </w:r>
      <w:proofErr w:type="gramEnd"/>
      <w:r w:rsidRPr="00880318">
        <w:rPr>
          <w:rFonts w:eastAsia="Times New Roman" w:cstheme="minorHAnsi"/>
          <w:color w:val="000000" w:themeColor="text1"/>
          <w:sz w:val="18"/>
          <w:szCs w:val="24"/>
          <w:shd w:val="clear" w:color="auto" w:fill="FFFFFF"/>
        </w:rPr>
        <w:t xml:space="preserve"> and a maximum possible score of 40. Each of these subscales is averaged over five items, where </w:t>
      </w:r>
      <w:proofErr w:type="gramStart"/>
      <w:r w:rsidRPr="00880318">
        <w:rPr>
          <w:rFonts w:eastAsia="Times New Roman" w:cstheme="minorHAnsi"/>
          <w:color w:val="000000" w:themeColor="text1"/>
          <w:sz w:val="18"/>
          <w:szCs w:val="24"/>
          <w:shd w:val="clear" w:color="auto" w:fill="FFFFFF"/>
        </w:rPr>
        <w:t>1</w:t>
      </w:r>
      <w:proofErr w:type="gramEnd"/>
      <w:r w:rsidRPr="00880318">
        <w:rPr>
          <w:rFonts w:eastAsia="Times New Roman" w:cstheme="minorHAnsi"/>
          <w:color w:val="000000" w:themeColor="text1"/>
          <w:sz w:val="18"/>
          <w:szCs w:val="24"/>
          <w:shd w:val="clear" w:color="auto" w:fill="FFFFFF"/>
        </w:rPr>
        <w:t xml:space="preserve"> is the minimum score for an answer (Not true), and 3 is the maximum </w:t>
      </w:r>
      <w:r w:rsidRPr="00880318">
        <w:rPr>
          <w:rFonts w:eastAsia="Times New Roman" w:cstheme="minorHAnsi"/>
          <w:color w:val="000000" w:themeColor="text1"/>
          <w:sz w:val="18"/>
          <w:szCs w:val="24"/>
          <w:shd w:val="clear" w:color="auto" w:fill="FFFFFF"/>
        </w:rPr>
        <w:lastRenderedPageBreak/>
        <w:t xml:space="preserve">score (Certainly true). These mean values </w:t>
      </w:r>
      <w:proofErr w:type="gramStart"/>
      <w:r w:rsidRPr="00880318">
        <w:rPr>
          <w:rFonts w:eastAsia="Times New Roman" w:cstheme="minorHAnsi"/>
          <w:color w:val="000000" w:themeColor="text1"/>
          <w:sz w:val="18"/>
          <w:szCs w:val="24"/>
          <w:shd w:val="clear" w:color="auto" w:fill="FFFFFF"/>
        </w:rPr>
        <w:t>are rescaled</w:t>
      </w:r>
      <w:proofErr w:type="gramEnd"/>
      <w:r w:rsidRPr="00880318">
        <w:rPr>
          <w:rFonts w:eastAsia="Times New Roman" w:cstheme="minorHAnsi"/>
          <w:color w:val="000000" w:themeColor="text1"/>
          <w:sz w:val="18"/>
          <w:szCs w:val="24"/>
          <w:shd w:val="clear" w:color="auto" w:fill="FFFFFF"/>
        </w:rPr>
        <w:t xml:space="preserve"> to be an integer between 0 and 10. The lower SDQ total score corresponds to a better child’s overall </w:t>
      </w:r>
      <w:proofErr w:type="spellStart"/>
      <w:r w:rsidRPr="00880318">
        <w:rPr>
          <w:rFonts w:eastAsia="Times New Roman" w:cstheme="minorHAnsi"/>
          <w:color w:val="000000" w:themeColor="text1"/>
          <w:sz w:val="18"/>
          <w:szCs w:val="24"/>
          <w:shd w:val="clear" w:color="auto" w:fill="FFFFFF"/>
        </w:rPr>
        <w:t>behaviour</w:t>
      </w:r>
      <w:proofErr w:type="spellEnd"/>
      <w:r w:rsidRPr="00880318">
        <w:rPr>
          <w:rFonts w:eastAsia="Times New Roman" w:cstheme="minorHAnsi"/>
          <w:color w:val="000000" w:themeColor="text1"/>
          <w:sz w:val="18"/>
          <w:szCs w:val="24"/>
          <w:shd w:val="clear" w:color="auto" w:fill="FFFFFF"/>
        </w:rPr>
        <w:t xml:space="preserve"> status.</w:t>
      </w:r>
    </w:p>
    <w:p w:rsidR="0080068E" w:rsidRPr="00A461FF" w:rsidRDefault="0080068E" w:rsidP="00A461FF">
      <w:pPr>
        <w:pStyle w:val="Caption"/>
        <w:keepNext/>
        <w:spacing w:after="0"/>
        <w:jc w:val="both"/>
        <w:rPr>
          <w:rFonts w:cstheme="minorHAnsi"/>
          <w:color w:val="000000" w:themeColor="text1"/>
        </w:rPr>
      </w:pPr>
      <w:r w:rsidRPr="00A461FF">
        <w:rPr>
          <w:rFonts w:eastAsia="Times New Roman" w:cstheme="minorHAnsi"/>
          <w:color w:val="000000" w:themeColor="text1"/>
        </w:rPr>
        <w:t xml:space="preserve">Table 1. </w:t>
      </w:r>
      <w:r w:rsidRPr="00A461FF">
        <w:rPr>
          <w:rFonts w:eastAsia="Times New Roman" w:cstheme="minorHAnsi"/>
          <w:b w:val="0"/>
          <w:bCs w:val="0"/>
          <w:color w:val="000000" w:themeColor="text1"/>
        </w:rPr>
        <w:t xml:space="preserve">Distribution of SDQ total score for LSAC participants who responded to the questionnaire in waves 1 (4-5 years) and </w:t>
      </w:r>
      <w:proofErr w:type="gramStart"/>
      <w:r w:rsidRPr="00A461FF">
        <w:rPr>
          <w:rFonts w:eastAsia="Times New Roman" w:cstheme="minorHAnsi"/>
          <w:b w:val="0"/>
          <w:bCs w:val="0"/>
          <w:color w:val="000000" w:themeColor="text1"/>
        </w:rPr>
        <w:t>3</w:t>
      </w:r>
      <w:proofErr w:type="gramEnd"/>
      <w:r w:rsidRPr="00A461FF">
        <w:rPr>
          <w:rFonts w:eastAsia="Times New Roman" w:cstheme="minorHAnsi"/>
          <w:b w:val="0"/>
          <w:bCs w:val="0"/>
          <w:color w:val="000000" w:themeColor="text1"/>
        </w:rPr>
        <w:t xml:space="preserve"> (8-9 years).</w:t>
      </w:r>
    </w:p>
    <w:tbl>
      <w:tblPr>
        <w:tblStyle w:val="TableGrid"/>
        <w:tblW w:w="5402" w:type="dxa"/>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1501"/>
        <w:gridCol w:w="1879"/>
        <w:gridCol w:w="1011"/>
        <w:gridCol w:w="1011"/>
      </w:tblGrid>
      <w:tr w:rsidR="0080068E" w:rsidRPr="00A461FF" w:rsidTr="000A711A">
        <w:trPr>
          <w:jc w:val="center"/>
        </w:trPr>
        <w:tc>
          <w:tcPr>
            <w:tcW w:w="1501" w:type="dxa"/>
            <w:tcBorders>
              <w:top w:val="single" w:sz="12" w:space="0" w:color="auto"/>
              <w:left w:val="nil"/>
            </w:tcBorders>
          </w:tcPr>
          <w:p w:rsidR="0080068E" w:rsidRPr="00A461FF" w:rsidRDefault="0080068E" w:rsidP="000A711A">
            <w:pPr>
              <w:rPr>
                <w:rFonts w:cstheme="minorHAnsi"/>
                <w:sz w:val="18"/>
                <w:szCs w:val="18"/>
              </w:rPr>
            </w:pPr>
          </w:p>
        </w:tc>
        <w:tc>
          <w:tcPr>
            <w:tcW w:w="1879" w:type="dxa"/>
            <w:tcBorders>
              <w:top w:val="single" w:sz="12" w:space="0" w:color="auto"/>
            </w:tcBorders>
          </w:tcPr>
          <w:p w:rsidR="0080068E" w:rsidRPr="00A461FF" w:rsidRDefault="0080068E" w:rsidP="000A711A">
            <w:pPr>
              <w:rPr>
                <w:rFonts w:cstheme="minorHAnsi"/>
                <w:sz w:val="18"/>
                <w:szCs w:val="18"/>
              </w:rPr>
            </w:pPr>
          </w:p>
        </w:tc>
        <w:tc>
          <w:tcPr>
            <w:tcW w:w="1011" w:type="dxa"/>
            <w:tcBorders>
              <w:top w:val="single" w:sz="12" w:space="0" w:color="auto"/>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Wave 1</w:t>
            </w:r>
          </w:p>
          <w:p w:rsidR="0080068E" w:rsidRPr="00A461FF" w:rsidRDefault="0080068E" w:rsidP="000A711A">
            <w:pPr>
              <w:jc w:val="center"/>
              <w:rPr>
                <w:rFonts w:cstheme="minorHAnsi"/>
                <w:sz w:val="18"/>
                <w:szCs w:val="18"/>
              </w:rPr>
            </w:pPr>
            <w:r w:rsidRPr="00A461FF">
              <w:rPr>
                <w:rFonts w:eastAsia="Times New Roman" w:cstheme="minorHAnsi"/>
                <w:sz w:val="18"/>
                <w:szCs w:val="18"/>
              </w:rPr>
              <w:t>(</w:t>
            </w:r>
            <w:r w:rsidRPr="00A461FF">
              <w:rPr>
                <w:rFonts w:eastAsia="Times New Roman" w:cstheme="minorHAnsi"/>
                <w:i/>
                <w:sz w:val="18"/>
                <w:szCs w:val="18"/>
              </w:rPr>
              <w:t>n</w:t>
            </w:r>
            <w:r w:rsidRPr="00A461FF">
              <w:rPr>
                <w:rFonts w:eastAsia="Times New Roman" w:cstheme="minorHAnsi"/>
                <w:sz w:val="18"/>
                <w:szCs w:val="18"/>
              </w:rPr>
              <w:t>=4983)</w:t>
            </w:r>
          </w:p>
        </w:tc>
        <w:tc>
          <w:tcPr>
            <w:tcW w:w="1011" w:type="dxa"/>
            <w:tcBorders>
              <w:top w:val="single" w:sz="12" w:space="0" w:color="auto"/>
              <w:right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Wave 3</w:t>
            </w:r>
          </w:p>
          <w:p w:rsidR="0080068E" w:rsidRPr="00A461FF" w:rsidRDefault="0080068E" w:rsidP="000A711A">
            <w:pPr>
              <w:jc w:val="center"/>
              <w:rPr>
                <w:rFonts w:cstheme="minorHAnsi"/>
                <w:sz w:val="18"/>
                <w:szCs w:val="18"/>
              </w:rPr>
            </w:pPr>
            <w:r w:rsidRPr="00A461FF">
              <w:rPr>
                <w:rFonts w:eastAsia="Times New Roman" w:cstheme="minorHAnsi"/>
                <w:sz w:val="18"/>
                <w:szCs w:val="18"/>
              </w:rPr>
              <w:t>(</w:t>
            </w:r>
            <w:r w:rsidRPr="00A461FF">
              <w:rPr>
                <w:rFonts w:eastAsia="Times New Roman" w:cstheme="minorHAnsi"/>
                <w:i/>
                <w:sz w:val="18"/>
                <w:szCs w:val="18"/>
              </w:rPr>
              <w:t>n</w:t>
            </w:r>
            <w:r w:rsidRPr="00A461FF">
              <w:rPr>
                <w:rFonts w:eastAsia="Times New Roman" w:cstheme="minorHAnsi"/>
                <w:sz w:val="18"/>
                <w:szCs w:val="18"/>
              </w:rPr>
              <w:t>=4331)</w:t>
            </w:r>
          </w:p>
        </w:tc>
      </w:tr>
      <w:tr w:rsidR="0080068E" w:rsidRPr="00A461FF" w:rsidTr="000A711A">
        <w:trPr>
          <w:jc w:val="center"/>
        </w:trPr>
        <w:tc>
          <w:tcPr>
            <w:tcW w:w="1501" w:type="dxa"/>
            <w:vMerge w:val="restart"/>
            <w:tcBorders>
              <w:left w:val="nil"/>
            </w:tcBorders>
            <w:vAlign w:val="center"/>
          </w:tcPr>
          <w:p w:rsidR="0080068E" w:rsidRPr="00A461FF" w:rsidRDefault="0080068E" w:rsidP="000A711A">
            <w:pPr>
              <w:rPr>
                <w:rFonts w:cstheme="minorHAnsi"/>
                <w:sz w:val="18"/>
                <w:szCs w:val="18"/>
              </w:rPr>
            </w:pPr>
            <w:r w:rsidRPr="00A461FF">
              <w:rPr>
                <w:rFonts w:eastAsia="Times New Roman" w:cstheme="minorHAnsi"/>
                <w:sz w:val="18"/>
                <w:szCs w:val="18"/>
              </w:rPr>
              <w:t xml:space="preserve">Respondents </w:t>
            </w:r>
          </w:p>
          <w:p w:rsidR="0080068E" w:rsidRPr="00A461FF" w:rsidRDefault="0080068E" w:rsidP="000A711A">
            <w:pPr>
              <w:rPr>
                <w:rFonts w:cstheme="minorHAnsi"/>
                <w:sz w:val="18"/>
                <w:szCs w:val="18"/>
              </w:rPr>
            </w:pPr>
            <w:r w:rsidRPr="00A461FF">
              <w:rPr>
                <w:rFonts w:eastAsia="Times New Roman" w:cstheme="minorHAnsi"/>
                <w:sz w:val="18"/>
                <w:szCs w:val="18"/>
              </w:rPr>
              <w:t xml:space="preserve">SDQ total score </w:t>
            </w:r>
          </w:p>
        </w:tc>
        <w:tc>
          <w:tcPr>
            <w:tcW w:w="1879" w:type="dxa"/>
            <w:tcBorders>
              <w:bottom w:val="nil"/>
            </w:tcBorders>
          </w:tcPr>
          <w:p w:rsidR="0080068E" w:rsidRPr="00A461FF" w:rsidRDefault="0080068E" w:rsidP="000A711A">
            <w:pPr>
              <w:rPr>
                <w:rFonts w:cstheme="minorHAnsi"/>
                <w:sz w:val="18"/>
                <w:szCs w:val="18"/>
              </w:rPr>
            </w:pPr>
          </w:p>
        </w:tc>
        <w:tc>
          <w:tcPr>
            <w:tcW w:w="1011" w:type="dxa"/>
            <w:tcBorders>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4968</w:t>
            </w:r>
          </w:p>
        </w:tc>
        <w:tc>
          <w:tcPr>
            <w:tcW w:w="1011" w:type="dxa"/>
            <w:tcBorders>
              <w:bottom w:val="nil"/>
              <w:right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3798</w:t>
            </w:r>
          </w:p>
        </w:tc>
      </w:tr>
      <w:tr w:rsidR="0080068E" w:rsidRPr="00A461FF" w:rsidTr="000A711A">
        <w:trPr>
          <w:jc w:val="center"/>
        </w:trPr>
        <w:tc>
          <w:tcPr>
            <w:tcW w:w="1501" w:type="dxa"/>
            <w:vMerge/>
            <w:tcBorders>
              <w:left w:val="nil"/>
            </w:tcBorders>
            <w:vAlign w:val="center"/>
          </w:tcPr>
          <w:p w:rsidR="0080068E" w:rsidRPr="00A461FF" w:rsidRDefault="0080068E" w:rsidP="000A711A">
            <w:pPr>
              <w:rPr>
                <w:rFonts w:cstheme="minorHAnsi"/>
                <w:sz w:val="18"/>
                <w:szCs w:val="18"/>
              </w:rPr>
            </w:pPr>
          </w:p>
        </w:tc>
        <w:tc>
          <w:tcPr>
            <w:tcW w:w="1879" w:type="dxa"/>
            <w:tcBorders>
              <w:top w:val="nil"/>
              <w:bottom w:val="nil"/>
            </w:tcBorders>
          </w:tcPr>
          <w:p w:rsidR="0080068E" w:rsidRPr="00A461FF" w:rsidRDefault="0080068E" w:rsidP="000A711A">
            <w:pPr>
              <w:rPr>
                <w:rFonts w:cstheme="minorHAnsi"/>
                <w:sz w:val="18"/>
                <w:szCs w:val="18"/>
              </w:rPr>
            </w:pPr>
            <w:r w:rsidRPr="00A461FF">
              <w:rPr>
                <w:rFonts w:eastAsia="Times New Roman" w:cstheme="minorHAnsi"/>
                <w:sz w:val="18"/>
                <w:szCs w:val="18"/>
              </w:rPr>
              <w:t>mean(SD)</w:t>
            </w:r>
          </w:p>
          <w:p w:rsidR="0080068E" w:rsidRPr="00A461FF" w:rsidRDefault="0080068E" w:rsidP="000A711A">
            <w:pPr>
              <w:rPr>
                <w:rFonts w:cstheme="minorHAnsi"/>
                <w:sz w:val="18"/>
                <w:szCs w:val="18"/>
              </w:rPr>
            </w:pPr>
            <w:r w:rsidRPr="00A461FF">
              <w:rPr>
                <w:rFonts w:eastAsia="Times New Roman" w:cstheme="minorHAnsi"/>
                <w:sz w:val="18"/>
                <w:szCs w:val="18"/>
              </w:rPr>
              <w:t>(95% CI)</w:t>
            </w:r>
          </w:p>
        </w:tc>
        <w:tc>
          <w:tcPr>
            <w:tcW w:w="1011" w:type="dxa"/>
            <w:tcBorders>
              <w:top w:val="nil"/>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9.37(5.30)</w:t>
            </w:r>
          </w:p>
          <w:p w:rsidR="0080068E" w:rsidRPr="00A461FF" w:rsidRDefault="0080068E" w:rsidP="000A711A">
            <w:pPr>
              <w:jc w:val="center"/>
              <w:rPr>
                <w:rFonts w:cstheme="minorHAnsi"/>
                <w:sz w:val="18"/>
                <w:szCs w:val="18"/>
              </w:rPr>
            </w:pPr>
            <w:r w:rsidRPr="00A461FF">
              <w:rPr>
                <w:rFonts w:eastAsia="Times New Roman" w:cstheme="minorHAnsi"/>
                <w:sz w:val="18"/>
                <w:szCs w:val="18"/>
              </w:rPr>
              <w:t>(9.22,9.51)</w:t>
            </w:r>
          </w:p>
        </w:tc>
        <w:tc>
          <w:tcPr>
            <w:tcW w:w="1011" w:type="dxa"/>
            <w:tcBorders>
              <w:top w:val="nil"/>
              <w:bottom w:val="nil"/>
              <w:right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7.50(5.31)</w:t>
            </w:r>
          </w:p>
          <w:p w:rsidR="0080068E" w:rsidRPr="00A461FF" w:rsidRDefault="0080068E" w:rsidP="000A711A">
            <w:pPr>
              <w:jc w:val="center"/>
              <w:rPr>
                <w:rFonts w:cstheme="minorHAnsi"/>
                <w:sz w:val="18"/>
                <w:szCs w:val="18"/>
              </w:rPr>
            </w:pPr>
            <w:r w:rsidRPr="00A461FF">
              <w:rPr>
                <w:rFonts w:eastAsia="Times New Roman" w:cstheme="minorHAnsi"/>
                <w:sz w:val="18"/>
                <w:szCs w:val="18"/>
              </w:rPr>
              <w:t>(7.33,7.67)</w:t>
            </w:r>
          </w:p>
        </w:tc>
      </w:tr>
      <w:tr w:rsidR="0080068E" w:rsidRPr="00A461FF" w:rsidTr="000A711A">
        <w:trPr>
          <w:jc w:val="center"/>
        </w:trPr>
        <w:tc>
          <w:tcPr>
            <w:tcW w:w="1501" w:type="dxa"/>
            <w:vMerge/>
            <w:tcBorders>
              <w:left w:val="nil"/>
              <w:bottom w:val="single" w:sz="12" w:space="0" w:color="auto"/>
            </w:tcBorders>
          </w:tcPr>
          <w:p w:rsidR="0080068E" w:rsidRPr="00A461FF" w:rsidRDefault="0080068E" w:rsidP="000A711A">
            <w:pPr>
              <w:rPr>
                <w:rFonts w:cstheme="minorHAnsi"/>
                <w:sz w:val="18"/>
                <w:szCs w:val="18"/>
              </w:rPr>
            </w:pPr>
          </w:p>
        </w:tc>
        <w:tc>
          <w:tcPr>
            <w:tcW w:w="1879" w:type="dxa"/>
            <w:tcBorders>
              <w:top w:val="nil"/>
              <w:bottom w:val="single" w:sz="12" w:space="0" w:color="auto"/>
            </w:tcBorders>
          </w:tcPr>
          <w:p w:rsidR="0080068E" w:rsidRPr="00A461FF" w:rsidRDefault="0080068E" w:rsidP="000A711A">
            <w:pPr>
              <w:rPr>
                <w:rFonts w:cstheme="minorHAnsi"/>
                <w:sz w:val="18"/>
                <w:szCs w:val="18"/>
              </w:rPr>
            </w:pPr>
            <w:r w:rsidRPr="00A461FF">
              <w:rPr>
                <w:rFonts w:eastAsia="Times New Roman" w:cstheme="minorHAnsi"/>
                <w:sz w:val="18"/>
                <w:szCs w:val="18"/>
              </w:rPr>
              <w:t>median</w:t>
            </w:r>
          </w:p>
          <w:p w:rsidR="0080068E" w:rsidRPr="00A461FF" w:rsidRDefault="0080068E" w:rsidP="000A711A">
            <w:pPr>
              <w:rPr>
                <w:rFonts w:cstheme="minorHAnsi"/>
                <w:sz w:val="18"/>
                <w:szCs w:val="18"/>
              </w:rPr>
            </w:pPr>
            <w:r w:rsidRPr="00A461FF">
              <w:rPr>
                <w:rFonts w:eastAsia="Times New Roman" w:cstheme="minorHAnsi"/>
                <w:sz w:val="18"/>
                <w:szCs w:val="18"/>
              </w:rPr>
              <w:t>[25</w:t>
            </w:r>
            <w:r w:rsidRPr="00A461FF">
              <w:rPr>
                <w:rFonts w:eastAsia="Times New Roman" w:cstheme="minorHAnsi"/>
                <w:sz w:val="18"/>
                <w:szCs w:val="18"/>
                <w:vertAlign w:val="superscript"/>
              </w:rPr>
              <w:t>th</w:t>
            </w:r>
            <w:r w:rsidRPr="00A461FF">
              <w:rPr>
                <w:rFonts w:eastAsia="Times New Roman" w:cstheme="minorHAnsi"/>
                <w:sz w:val="18"/>
                <w:szCs w:val="18"/>
              </w:rPr>
              <w:t xml:space="preserve"> ,75</w:t>
            </w:r>
            <w:r w:rsidRPr="00A461FF">
              <w:rPr>
                <w:rFonts w:eastAsia="Times New Roman" w:cstheme="minorHAnsi"/>
                <w:sz w:val="18"/>
                <w:szCs w:val="18"/>
                <w:vertAlign w:val="superscript"/>
              </w:rPr>
              <w:t>th</w:t>
            </w:r>
            <w:r w:rsidRPr="00A461FF">
              <w:rPr>
                <w:rFonts w:eastAsia="Times New Roman" w:cstheme="minorHAnsi"/>
                <w:sz w:val="18"/>
                <w:szCs w:val="18"/>
              </w:rPr>
              <w:t xml:space="preserve"> percentiles]</w:t>
            </w:r>
          </w:p>
          <w:p w:rsidR="0080068E" w:rsidRPr="00A461FF" w:rsidRDefault="0080068E" w:rsidP="000A711A">
            <w:pPr>
              <w:rPr>
                <w:rFonts w:cstheme="minorHAnsi"/>
                <w:sz w:val="18"/>
                <w:szCs w:val="18"/>
              </w:rPr>
            </w:pPr>
            <w:r w:rsidRPr="00A461FF">
              <w:rPr>
                <w:rFonts w:eastAsia="Times New Roman" w:cstheme="minorHAnsi"/>
                <w:sz w:val="18"/>
                <w:szCs w:val="18"/>
              </w:rPr>
              <w:t>[Range]</w:t>
            </w:r>
          </w:p>
        </w:tc>
        <w:tc>
          <w:tcPr>
            <w:tcW w:w="1011" w:type="dxa"/>
            <w:tcBorders>
              <w:top w:val="nil"/>
              <w:bottom w:val="single" w:sz="12" w:space="0" w:color="auto"/>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9</w:t>
            </w:r>
          </w:p>
          <w:p w:rsidR="0080068E" w:rsidRPr="00A461FF" w:rsidRDefault="0080068E" w:rsidP="000A711A">
            <w:pPr>
              <w:jc w:val="center"/>
              <w:rPr>
                <w:rFonts w:cstheme="minorHAnsi"/>
                <w:sz w:val="18"/>
                <w:szCs w:val="18"/>
              </w:rPr>
            </w:pPr>
            <w:r w:rsidRPr="00A461FF">
              <w:rPr>
                <w:rFonts w:eastAsia="Times New Roman" w:cstheme="minorHAnsi"/>
                <w:sz w:val="18"/>
                <w:szCs w:val="18"/>
              </w:rPr>
              <w:t>[5,12]</w:t>
            </w:r>
          </w:p>
          <w:p w:rsidR="0080068E" w:rsidRPr="00A461FF" w:rsidRDefault="0080068E" w:rsidP="000A711A">
            <w:pPr>
              <w:jc w:val="center"/>
              <w:rPr>
                <w:rFonts w:cstheme="minorHAnsi"/>
                <w:sz w:val="18"/>
                <w:szCs w:val="18"/>
              </w:rPr>
            </w:pPr>
            <w:r w:rsidRPr="00A461FF">
              <w:rPr>
                <w:rFonts w:eastAsia="Times New Roman" w:cstheme="minorHAnsi"/>
                <w:sz w:val="18"/>
                <w:szCs w:val="18"/>
              </w:rPr>
              <w:t>[0,35]</w:t>
            </w:r>
          </w:p>
        </w:tc>
        <w:tc>
          <w:tcPr>
            <w:tcW w:w="1011" w:type="dxa"/>
            <w:tcBorders>
              <w:top w:val="nil"/>
              <w:bottom w:val="single" w:sz="12" w:space="0" w:color="auto"/>
              <w:right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6</w:t>
            </w:r>
          </w:p>
          <w:p w:rsidR="0080068E" w:rsidRPr="00A461FF" w:rsidRDefault="0080068E" w:rsidP="000A711A">
            <w:pPr>
              <w:jc w:val="center"/>
              <w:rPr>
                <w:rFonts w:cstheme="minorHAnsi"/>
                <w:sz w:val="18"/>
                <w:szCs w:val="18"/>
              </w:rPr>
            </w:pPr>
            <w:r w:rsidRPr="00A461FF">
              <w:rPr>
                <w:rFonts w:eastAsia="Times New Roman" w:cstheme="minorHAnsi"/>
                <w:sz w:val="18"/>
                <w:szCs w:val="18"/>
              </w:rPr>
              <w:t>[4,10]</w:t>
            </w:r>
          </w:p>
          <w:p w:rsidR="0080068E" w:rsidRPr="00A461FF" w:rsidRDefault="0080068E" w:rsidP="000A711A">
            <w:pPr>
              <w:jc w:val="center"/>
              <w:rPr>
                <w:rFonts w:cstheme="minorHAnsi"/>
                <w:sz w:val="18"/>
                <w:szCs w:val="18"/>
              </w:rPr>
            </w:pPr>
            <w:r w:rsidRPr="00A461FF">
              <w:rPr>
                <w:rFonts w:eastAsia="Times New Roman" w:cstheme="minorHAnsi"/>
                <w:sz w:val="18"/>
                <w:szCs w:val="18"/>
              </w:rPr>
              <w:t>[0,35]</w:t>
            </w:r>
          </w:p>
        </w:tc>
      </w:tr>
    </w:tbl>
    <w:p w:rsidR="0080068E" w:rsidRPr="00880318" w:rsidRDefault="0080068E" w:rsidP="00CE0D7A">
      <w:pPr>
        <w:spacing w:before="240" w:line="360" w:lineRule="auto"/>
        <w:jc w:val="both"/>
        <w:rPr>
          <w:rFonts w:cstheme="minorHAnsi"/>
          <w:sz w:val="18"/>
          <w:szCs w:val="21"/>
          <w:shd w:val="clear" w:color="auto" w:fill="FFFFFF"/>
        </w:rPr>
      </w:pPr>
      <w:r w:rsidRPr="00880318">
        <w:rPr>
          <w:rFonts w:eastAsia="Times New Roman" w:cstheme="minorHAnsi"/>
          <w:sz w:val="18"/>
          <w:szCs w:val="24"/>
          <w:shd w:val="clear" w:color="auto" w:fill="FFFFFF"/>
        </w:rPr>
        <w:t xml:space="preserve">What is your expectation about the average differences in the SDQ total score at 8-9 years between LSAC participants with missing and observed data? Please complete Table 2 below (an explanation of the hypothetical example </w:t>
      </w:r>
      <w:proofErr w:type="gramStart"/>
      <w:r w:rsidRPr="00880318">
        <w:rPr>
          <w:rFonts w:eastAsia="Times New Roman" w:cstheme="minorHAnsi"/>
          <w:sz w:val="18"/>
          <w:szCs w:val="24"/>
          <w:shd w:val="clear" w:color="auto" w:fill="FFFFFF"/>
        </w:rPr>
        <w:t>is provided</w:t>
      </w:r>
      <w:proofErr w:type="gramEnd"/>
      <w:r w:rsidRPr="00880318">
        <w:rPr>
          <w:rFonts w:eastAsia="Times New Roman" w:cstheme="minorHAnsi"/>
          <w:sz w:val="18"/>
          <w:szCs w:val="24"/>
          <w:shd w:val="clear" w:color="auto" w:fill="FFFFFF"/>
        </w:rPr>
        <w:t xml:space="preserve"> on the next page).</w:t>
      </w:r>
    </w:p>
    <w:p w:rsidR="0080068E" w:rsidRPr="00A461FF" w:rsidRDefault="0080068E" w:rsidP="00A461FF">
      <w:pPr>
        <w:pStyle w:val="Caption"/>
        <w:keepNext/>
        <w:spacing w:after="0"/>
        <w:jc w:val="both"/>
        <w:rPr>
          <w:rFonts w:cstheme="minorHAnsi"/>
          <w:color w:val="000000" w:themeColor="text1"/>
        </w:rPr>
      </w:pPr>
      <w:r w:rsidRPr="00A461FF">
        <w:rPr>
          <w:rFonts w:eastAsia="Times New Roman" w:cstheme="minorHAnsi"/>
          <w:color w:val="000000" w:themeColor="text1"/>
        </w:rPr>
        <w:t xml:space="preserve">Table 2. </w:t>
      </w:r>
      <w:r w:rsidRPr="00A461FF">
        <w:rPr>
          <w:rFonts w:eastAsia="Times New Roman" w:cstheme="minorHAnsi"/>
          <w:b w:val="0"/>
          <w:bCs w:val="0"/>
          <w:color w:val="000000" w:themeColor="text1"/>
        </w:rPr>
        <w:t>Elicitation of prior information for the distribution of the mean difference in the SDQ total score at 8-9 years between LSAC non-respondents and respondents.</w:t>
      </w:r>
    </w:p>
    <w:tbl>
      <w:tblPr>
        <w:tblStyle w:val="TableGrid"/>
        <w:tblW w:w="6236"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5"/>
        <w:gridCol w:w="937"/>
        <w:gridCol w:w="1078"/>
        <w:gridCol w:w="1062"/>
        <w:gridCol w:w="877"/>
        <w:gridCol w:w="1057"/>
      </w:tblGrid>
      <w:tr w:rsidR="0080068E" w:rsidRPr="00A461FF" w:rsidTr="00880318">
        <w:trPr>
          <w:jc w:val="center"/>
        </w:trPr>
        <w:tc>
          <w:tcPr>
            <w:tcW w:w="1225" w:type="dxa"/>
            <w:tcBorders>
              <w:top w:val="single" w:sz="12" w:space="0" w:color="auto"/>
              <w:left w:val="nil"/>
              <w:bottom w:val="nil"/>
            </w:tcBorders>
          </w:tcPr>
          <w:p w:rsidR="0080068E" w:rsidRPr="00A461FF" w:rsidRDefault="0080068E" w:rsidP="000A711A">
            <w:pPr>
              <w:jc w:val="both"/>
              <w:rPr>
                <w:rFonts w:cstheme="minorHAnsi"/>
                <w:sz w:val="18"/>
                <w:szCs w:val="18"/>
              </w:rPr>
            </w:pPr>
          </w:p>
        </w:tc>
        <w:tc>
          <w:tcPr>
            <w:tcW w:w="937"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Minimum</w:t>
            </w:r>
          </w:p>
        </w:tc>
        <w:tc>
          <w:tcPr>
            <w:tcW w:w="1078"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 xml:space="preserve">Lower </w:t>
            </w:r>
          </w:p>
        </w:tc>
        <w:tc>
          <w:tcPr>
            <w:tcW w:w="1062"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Median</w:t>
            </w:r>
          </w:p>
        </w:tc>
        <w:tc>
          <w:tcPr>
            <w:tcW w:w="877"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 xml:space="preserve">Upper </w:t>
            </w:r>
          </w:p>
        </w:tc>
        <w:tc>
          <w:tcPr>
            <w:tcW w:w="1057" w:type="dxa"/>
            <w:tcBorders>
              <w:top w:val="single" w:sz="12" w:space="0" w:color="auto"/>
              <w:bottom w:val="nil"/>
              <w:right w:val="nil"/>
            </w:tcBorders>
          </w:tcPr>
          <w:p w:rsidR="0080068E" w:rsidRPr="00A461FF" w:rsidRDefault="0080068E" w:rsidP="000A711A">
            <w:pPr>
              <w:jc w:val="center"/>
              <w:rPr>
                <w:rFonts w:cstheme="minorHAnsi"/>
                <w:sz w:val="18"/>
                <w:szCs w:val="18"/>
              </w:rPr>
            </w:pPr>
            <w:r w:rsidRPr="00A461FF">
              <w:rPr>
                <w:rFonts w:eastAsia="Times" w:cstheme="minorHAnsi"/>
                <w:sz w:val="18"/>
                <w:szCs w:val="18"/>
              </w:rPr>
              <w:t>Maximum</w:t>
            </w:r>
          </w:p>
        </w:tc>
      </w:tr>
      <w:tr w:rsidR="0080068E" w:rsidRPr="00A461FF" w:rsidTr="00880318">
        <w:trPr>
          <w:jc w:val="center"/>
        </w:trPr>
        <w:tc>
          <w:tcPr>
            <w:tcW w:w="1225" w:type="dxa"/>
            <w:tcBorders>
              <w:top w:val="nil"/>
              <w:left w:val="nil"/>
              <w:bottom w:val="single" w:sz="8" w:space="0" w:color="auto"/>
            </w:tcBorders>
          </w:tcPr>
          <w:p w:rsidR="0080068E" w:rsidRPr="00A461FF" w:rsidRDefault="0080068E" w:rsidP="000A711A">
            <w:pPr>
              <w:jc w:val="both"/>
              <w:rPr>
                <w:rFonts w:cstheme="minorHAnsi"/>
                <w:sz w:val="18"/>
                <w:szCs w:val="18"/>
              </w:rPr>
            </w:pPr>
          </w:p>
        </w:tc>
        <w:tc>
          <w:tcPr>
            <w:tcW w:w="937" w:type="dxa"/>
            <w:tcBorders>
              <w:top w:val="nil"/>
              <w:bottom w:val="single" w:sz="8" w:space="0" w:color="auto"/>
            </w:tcBorders>
          </w:tcPr>
          <w:p w:rsidR="0080068E" w:rsidRPr="00A461FF" w:rsidRDefault="0080068E" w:rsidP="000A711A">
            <w:pPr>
              <w:jc w:val="center"/>
              <w:rPr>
                <w:rFonts w:eastAsia="Times New Roman" w:cstheme="minorHAnsi"/>
                <w:sz w:val="18"/>
                <w:szCs w:val="18"/>
              </w:rPr>
            </w:pPr>
          </w:p>
        </w:tc>
        <w:tc>
          <w:tcPr>
            <w:tcW w:w="1078" w:type="dxa"/>
            <w:tcBorders>
              <w:top w:val="nil"/>
              <w:bottom w:val="single" w:sz="8" w:space="0" w:color="auto"/>
            </w:tcBorders>
          </w:tcPr>
          <w:p w:rsidR="0080068E" w:rsidRPr="00A461FF" w:rsidRDefault="0080068E" w:rsidP="000A711A">
            <w:pPr>
              <w:jc w:val="center"/>
              <w:rPr>
                <w:rFonts w:eastAsia="Times New Roman" w:cstheme="minorHAnsi"/>
                <w:sz w:val="18"/>
                <w:szCs w:val="18"/>
              </w:rPr>
            </w:pPr>
            <w:r w:rsidRPr="00A461FF">
              <w:rPr>
                <w:rFonts w:eastAsia="Times New Roman" w:cstheme="minorHAnsi"/>
                <w:sz w:val="18"/>
                <w:szCs w:val="18"/>
              </w:rPr>
              <w:t>quartile</w:t>
            </w:r>
          </w:p>
        </w:tc>
        <w:tc>
          <w:tcPr>
            <w:tcW w:w="1062" w:type="dxa"/>
            <w:tcBorders>
              <w:top w:val="nil"/>
              <w:bottom w:val="single" w:sz="8" w:space="0" w:color="auto"/>
            </w:tcBorders>
          </w:tcPr>
          <w:p w:rsidR="0080068E" w:rsidRPr="00A461FF" w:rsidRDefault="0080068E" w:rsidP="000A711A">
            <w:pPr>
              <w:jc w:val="center"/>
              <w:rPr>
                <w:rFonts w:eastAsia="Times New Roman" w:cstheme="minorHAnsi"/>
                <w:sz w:val="18"/>
                <w:szCs w:val="18"/>
              </w:rPr>
            </w:pPr>
          </w:p>
        </w:tc>
        <w:tc>
          <w:tcPr>
            <w:tcW w:w="877" w:type="dxa"/>
            <w:tcBorders>
              <w:top w:val="nil"/>
              <w:bottom w:val="single" w:sz="8" w:space="0" w:color="auto"/>
            </w:tcBorders>
          </w:tcPr>
          <w:p w:rsidR="0080068E" w:rsidRPr="00A461FF" w:rsidRDefault="0080068E" w:rsidP="000A711A">
            <w:pPr>
              <w:jc w:val="center"/>
              <w:rPr>
                <w:rFonts w:eastAsia="Times New Roman" w:cstheme="minorHAnsi"/>
                <w:sz w:val="18"/>
                <w:szCs w:val="18"/>
              </w:rPr>
            </w:pPr>
            <w:r w:rsidRPr="00A461FF">
              <w:rPr>
                <w:rFonts w:eastAsia="Times New Roman" w:cstheme="minorHAnsi"/>
                <w:sz w:val="18"/>
                <w:szCs w:val="18"/>
              </w:rPr>
              <w:t>quartile</w:t>
            </w:r>
          </w:p>
        </w:tc>
        <w:tc>
          <w:tcPr>
            <w:tcW w:w="1057" w:type="dxa"/>
            <w:tcBorders>
              <w:top w:val="nil"/>
              <w:bottom w:val="single" w:sz="8" w:space="0" w:color="auto"/>
              <w:right w:val="nil"/>
            </w:tcBorders>
          </w:tcPr>
          <w:p w:rsidR="0080068E" w:rsidRPr="00A461FF" w:rsidRDefault="0080068E" w:rsidP="000A711A">
            <w:pPr>
              <w:jc w:val="center"/>
              <w:rPr>
                <w:rFonts w:eastAsia="Times" w:cstheme="minorHAnsi"/>
                <w:sz w:val="18"/>
                <w:szCs w:val="18"/>
              </w:rPr>
            </w:pPr>
          </w:p>
        </w:tc>
      </w:tr>
      <w:tr w:rsidR="0080068E" w:rsidRPr="00A461FF" w:rsidTr="00880318">
        <w:trPr>
          <w:jc w:val="center"/>
        </w:trPr>
        <w:tc>
          <w:tcPr>
            <w:tcW w:w="1225" w:type="dxa"/>
            <w:tcBorders>
              <w:top w:val="single" w:sz="8" w:space="0" w:color="auto"/>
              <w:left w:val="nil"/>
              <w:bottom w:val="nil"/>
            </w:tcBorders>
          </w:tcPr>
          <w:p w:rsidR="0080068E" w:rsidRPr="00A461FF" w:rsidRDefault="0080068E" w:rsidP="000A711A">
            <w:pPr>
              <w:jc w:val="both"/>
              <w:rPr>
                <w:rFonts w:cstheme="minorHAnsi"/>
                <w:sz w:val="18"/>
                <w:szCs w:val="18"/>
              </w:rPr>
            </w:pPr>
            <w:r w:rsidRPr="00A461FF">
              <w:rPr>
                <w:rFonts w:eastAsia="Times New Roman" w:cstheme="minorHAnsi"/>
                <w:sz w:val="18"/>
                <w:szCs w:val="18"/>
              </w:rPr>
              <w:t xml:space="preserve">Hypothetical </w:t>
            </w:r>
          </w:p>
        </w:tc>
        <w:tc>
          <w:tcPr>
            <w:tcW w:w="937" w:type="dxa"/>
            <w:tcBorders>
              <w:top w:val="single" w:sz="8"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-1</w:t>
            </w:r>
          </w:p>
        </w:tc>
        <w:tc>
          <w:tcPr>
            <w:tcW w:w="1078" w:type="dxa"/>
            <w:tcBorders>
              <w:top w:val="single" w:sz="8"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1</w:t>
            </w:r>
          </w:p>
        </w:tc>
        <w:tc>
          <w:tcPr>
            <w:tcW w:w="1062" w:type="dxa"/>
            <w:tcBorders>
              <w:top w:val="single" w:sz="8"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3</w:t>
            </w:r>
          </w:p>
        </w:tc>
        <w:tc>
          <w:tcPr>
            <w:tcW w:w="877" w:type="dxa"/>
            <w:tcBorders>
              <w:top w:val="single" w:sz="8"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7</w:t>
            </w:r>
          </w:p>
        </w:tc>
        <w:tc>
          <w:tcPr>
            <w:tcW w:w="1057" w:type="dxa"/>
            <w:tcBorders>
              <w:top w:val="single" w:sz="8" w:space="0" w:color="auto"/>
              <w:bottom w:val="nil"/>
              <w:right w:val="nil"/>
            </w:tcBorders>
            <w:vAlign w:val="center"/>
          </w:tcPr>
          <w:p w:rsidR="0080068E" w:rsidRPr="00A461FF" w:rsidRDefault="0080068E" w:rsidP="000A711A">
            <w:pPr>
              <w:jc w:val="center"/>
              <w:rPr>
                <w:rFonts w:cstheme="minorHAnsi"/>
                <w:sz w:val="18"/>
                <w:szCs w:val="18"/>
              </w:rPr>
            </w:pPr>
            <w:r w:rsidRPr="00A461FF">
              <w:rPr>
                <w:rFonts w:eastAsia="Times" w:cstheme="minorHAnsi"/>
                <w:sz w:val="18"/>
                <w:szCs w:val="18"/>
              </w:rPr>
              <w:t>10</w:t>
            </w:r>
          </w:p>
        </w:tc>
      </w:tr>
      <w:tr w:rsidR="0080068E" w:rsidRPr="00A461FF" w:rsidTr="00880318">
        <w:trPr>
          <w:jc w:val="center"/>
        </w:trPr>
        <w:tc>
          <w:tcPr>
            <w:tcW w:w="1225" w:type="dxa"/>
            <w:tcBorders>
              <w:top w:val="nil"/>
              <w:left w:val="nil"/>
              <w:bottom w:val="single" w:sz="4" w:space="0" w:color="auto"/>
            </w:tcBorders>
          </w:tcPr>
          <w:p w:rsidR="0080068E" w:rsidRPr="00A461FF" w:rsidRDefault="0080068E" w:rsidP="000A711A">
            <w:pPr>
              <w:jc w:val="both"/>
              <w:rPr>
                <w:rFonts w:eastAsia="Times New Roman" w:cstheme="minorHAnsi"/>
                <w:sz w:val="18"/>
                <w:szCs w:val="18"/>
              </w:rPr>
            </w:pPr>
            <w:r w:rsidRPr="00A461FF">
              <w:rPr>
                <w:rFonts w:eastAsia="Times New Roman" w:cstheme="minorHAnsi"/>
                <w:sz w:val="18"/>
                <w:szCs w:val="18"/>
              </w:rPr>
              <w:t>example</w:t>
            </w:r>
          </w:p>
        </w:tc>
        <w:tc>
          <w:tcPr>
            <w:tcW w:w="937"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1078"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1062"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877"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1057" w:type="dxa"/>
            <w:tcBorders>
              <w:top w:val="nil"/>
              <w:bottom w:val="single" w:sz="4" w:space="0" w:color="auto"/>
              <w:right w:val="nil"/>
            </w:tcBorders>
            <w:vAlign w:val="center"/>
          </w:tcPr>
          <w:p w:rsidR="0080068E" w:rsidRPr="00A461FF" w:rsidRDefault="0080068E" w:rsidP="000A711A">
            <w:pPr>
              <w:jc w:val="center"/>
              <w:rPr>
                <w:rFonts w:eastAsia="Times" w:cstheme="minorHAnsi"/>
                <w:sz w:val="18"/>
                <w:szCs w:val="18"/>
              </w:rPr>
            </w:pPr>
          </w:p>
        </w:tc>
      </w:tr>
      <w:tr w:rsidR="0080068E" w:rsidRPr="00A461FF" w:rsidTr="00880318">
        <w:trPr>
          <w:jc w:val="center"/>
        </w:trPr>
        <w:tc>
          <w:tcPr>
            <w:tcW w:w="1225" w:type="dxa"/>
            <w:tcBorders>
              <w:top w:val="single" w:sz="4" w:space="0" w:color="auto"/>
              <w:left w:val="nil"/>
              <w:bottom w:val="single" w:sz="12" w:space="0" w:color="auto"/>
            </w:tcBorders>
          </w:tcPr>
          <w:p w:rsidR="0080068E" w:rsidRPr="00A461FF" w:rsidRDefault="0080068E" w:rsidP="000A711A">
            <w:pPr>
              <w:jc w:val="both"/>
              <w:rPr>
                <w:rFonts w:cstheme="minorHAnsi"/>
                <w:sz w:val="18"/>
                <w:szCs w:val="18"/>
              </w:rPr>
            </w:pPr>
            <w:r w:rsidRPr="00A461FF">
              <w:rPr>
                <w:rFonts w:eastAsia="Times New Roman" w:cstheme="minorHAnsi"/>
                <w:sz w:val="18"/>
                <w:szCs w:val="18"/>
              </w:rPr>
              <w:t>Your response</w:t>
            </w:r>
          </w:p>
        </w:tc>
        <w:tc>
          <w:tcPr>
            <w:tcW w:w="937" w:type="dxa"/>
            <w:tcBorders>
              <w:top w:val="single" w:sz="4" w:space="0" w:color="auto"/>
              <w:bottom w:val="single" w:sz="12" w:space="0" w:color="auto"/>
            </w:tcBorders>
            <w:vAlign w:val="center"/>
          </w:tcPr>
          <w:p w:rsidR="0080068E" w:rsidRPr="00A461FF" w:rsidRDefault="0080068E" w:rsidP="000A711A">
            <w:pPr>
              <w:spacing w:line="360" w:lineRule="auto"/>
              <w:jc w:val="center"/>
              <w:rPr>
                <w:rFonts w:cstheme="minorHAnsi"/>
                <w:sz w:val="18"/>
                <w:szCs w:val="18"/>
              </w:rPr>
            </w:pPr>
          </w:p>
        </w:tc>
        <w:tc>
          <w:tcPr>
            <w:tcW w:w="1078" w:type="dxa"/>
            <w:tcBorders>
              <w:top w:val="single" w:sz="4" w:space="0" w:color="auto"/>
              <w:bottom w:val="single" w:sz="12" w:space="0" w:color="auto"/>
            </w:tcBorders>
            <w:vAlign w:val="center"/>
          </w:tcPr>
          <w:p w:rsidR="0080068E" w:rsidRPr="00A461FF" w:rsidRDefault="0080068E" w:rsidP="000A711A">
            <w:pPr>
              <w:spacing w:line="360" w:lineRule="auto"/>
              <w:jc w:val="center"/>
              <w:rPr>
                <w:rFonts w:cstheme="minorHAnsi"/>
                <w:sz w:val="18"/>
                <w:szCs w:val="18"/>
              </w:rPr>
            </w:pPr>
          </w:p>
        </w:tc>
        <w:tc>
          <w:tcPr>
            <w:tcW w:w="1062" w:type="dxa"/>
            <w:tcBorders>
              <w:top w:val="single" w:sz="4" w:space="0" w:color="auto"/>
              <w:bottom w:val="single" w:sz="12" w:space="0" w:color="auto"/>
            </w:tcBorders>
            <w:vAlign w:val="center"/>
          </w:tcPr>
          <w:p w:rsidR="0080068E" w:rsidRPr="00A461FF" w:rsidRDefault="0080068E" w:rsidP="000A711A">
            <w:pPr>
              <w:spacing w:line="360" w:lineRule="auto"/>
              <w:jc w:val="center"/>
              <w:rPr>
                <w:rFonts w:cstheme="minorHAnsi"/>
                <w:sz w:val="18"/>
                <w:szCs w:val="18"/>
              </w:rPr>
            </w:pPr>
          </w:p>
        </w:tc>
        <w:tc>
          <w:tcPr>
            <w:tcW w:w="877" w:type="dxa"/>
            <w:tcBorders>
              <w:top w:val="single" w:sz="4" w:space="0" w:color="auto"/>
              <w:bottom w:val="single" w:sz="12" w:space="0" w:color="auto"/>
            </w:tcBorders>
            <w:vAlign w:val="center"/>
          </w:tcPr>
          <w:p w:rsidR="0080068E" w:rsidRPr="00A461FF" w:rsidRDefault="0080068E" w:rsidP="000A711A">
            <w:pPr>
              <w:spacing w:line="360" w:lineRule="auto"/>
              <w:jc w:val="center"/>
              <w:rPr>
                <w:rFonts w:cstheme="minorHAnsi"/>
                <w:sz w:val="18"/>
                <w:szCs w:val="18"/>
              </w:rPr>
            </w:pPr>
          </w:p>
        </w:tc>
        <w:tc>
          <w:tcPr>
            <w:tcW w:w="1057" w:type="dxa"/>
            <w:tcBorders>
              <w:top w:val="single" w:sz="4" w:space="0" w:color="auto"/>
              <w:bottom w:val="single" w:sz="12" w:space="0" w:color="auto"/>
              <w:right w:val="nil"/>
            </w:tcBorders>
            <w:vAlign w:val="center"/>
          </w:tcPr>
          <w:p w:rsidR="0080068E" w:rsidRPr="00A461FF" w:rsidRDefault="0080068E" w:rsidP="000A711A">
            <w:pPr>
              <w:spacing w:line="360" w:lineRule="auto"/>
              <w:jc w:val="center"/>
              <w:rPr>
                <w:rFonts w:cstheme="minorHAnsi"/>
                <w:sz w:val="18"/>
                <w:szCs w:val="18"/>
              </w:rPr>
            </w:pPr>
          </w:p>
        </w:tc>
      </w:tr>
    </w:tbl>
    <w:p w:rsidR="0080068E" w:rsidRPr="00880318" w:rsidRDefault="0080068E" w:rsidP="0080068E">
      <w:pPr>
        <w:pStyle w:val="ListParagraph"/>
        <w:numPr>
          <w:ilvl w:val="0"/>
          <w:numId w:val="1"/>
        </w:numPr>
        <w:spacing w:before="240" w:after="0"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Minimum – the smallest value of the mean difference.</w:t>
      </w:r>
    </w:p>
    <w:p w:rsidR="0080068E" w:rsidRPr="00880318" w:rsidRDefault="0080068E" w:rsidP="0080068E">
      <w:pPr>
        <w:pStyle w:val="ListParagraph"/>
        <w:numPr>
          <w:ilvl w:val="0"/>
          <w:numId w:val="1"/>
        </w:numPr>
        <w:spacing w:before="240" w:after="0"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Maximum – the largest value of the mean difference.</w:t>
      </w:r>
    </w:p>
    <w:p w:rsidR="0080068E" w:rsidRPr="00880318" w:rsidRDefault="0080068E" w:rsidP="0080068E">
      <w:pPr>
        <w:pStyle w:val="ListParagraph"/>
        <w:numPr>
          <w:ilvl w:val="0"/>
          <w:numId w:val="1"/>
        </w:numPr>
        <w:spacing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 xml:space="preserve">Median – a value that the mean difference is equally likely to be less than or greater than this point (the </w:t>
      </w:r>
      <w:proofErr w:type="gramStart"/>
      <w:r w:rsidRPr="00880318">
        <w:rPr>
          <w:rFonts w:eastAsia="Times New Roman" w:cstheme="minorHAnsi"/>
          <w:sz w:val="18"/>
          <w:szCs w:val="24"/>
          <w:shd w:val="clear" w:color="auto" w:fill="FFFFFF"/>
        </w:rPr>
        <w:t>level which</w:t>
      </w:r>
      <w:proofErr w:type="gramEnd"/>
      <w:r w:rsidRPr="00880318">
        <w:rPr>
          <w:rFonts w:eastAsia="Times New Roman" w:cstheme="minorHAnsi"/>
          <w:sz w:val="18"/>
          <w:szCs w:val="24"/>
          <w:shd w:val="clear" w:color="auto" w:fill="FFFFFF"/>
        </w:rPr>
        <w:t xml:space="preserve"> you believe the mean difference is most likely to lie).</w:t>
      </w:r>
    </w:p>
    <w:p w:rsidR="0080068E" w:rsidRPr="00880318" w:rsidRDefault="0080068E" w:rsidP="0080068E">
      <w:pPr>
        <w:pStyle w:val="ListParagraph"/>
        <w:numPr>
          <w:ilvl w:val="0"/>
          <w:numId w:val="1"/>
        </w:numPr>
        <w:spacing w:before="240" w:after="0"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Lower &amp; Upper quartiles – the levels between which you are 50% sure the mean difference lies.</w:t>
      </w:r>
    </w:p>
    <w:p w:rsidR="00CE0D7A" w:rsidRDefault="0080068E" w:rsidP="0080068E">
      <w:pPr>
        <w:spacing w:after="0" w:line="360" w:lineRule="auto"/>
        <w:jc w:val="both"/>
        <w:rPr>
          <w:rFonts w:eastAsia="Times New Roman" w:cstheme="minorHAnsi"/>
          <w:sz w:val="18"/>
          <w:szCs w:val="24"/>
          <w:shd w:val="clear" w:color="auto" w:fill="FFFFFF"/>
        </w:rPr>
      </w:pPr>
      <w:proofErr w:type="gramStart"/>
      <w:r w:rsidRPr="00880318">
        <w:rPr>
          <w:rFonts w:eastAsia="Times New Roman" w:cstheme="minorHAnsi"/>
          <w:sz w:val="18"/>
          <w:szCs w:val="24"/>
          <w:shd w:val="clear" w:color="auto" w:fill="FFFFFF"/>
        </w:rPr>
        <w:t>To help you to complete Table 2, we provide an example which corresponds to a hypothetical expert who thinks that the smallest possible value (minimum) for the mean difference in the SDQ total score at 8-9 years is -1 (i.e. the mean SDQ total score at 8-9 years in respondents is higher by one unit than non-respondents) and the maximum possible value is 10 units (i.e. the mean SDQ total score at 8-9 years in non-respondents is higher by 10 units than respondents).</w:t>
      </w:r>
      <w:proofErr w:type="gramEnd"/>
      <w:r w:rsidRPr="00880318">
        <w:rPr>
          <w:rFonts w:eastAsia="Times New Roman" w:cstheme="minorHAnsi"/>
          <w:sz w:val="18"/>
          <w:szCs w:val="24"/>
          <w:shd w:val="clear" w:color="auto" w:fill="FFFFFF"/>
        </w:rPr>
        <w:t xml:space="preserve"> </w:t>
      </w:r>
      <w:proofErr w:type="gramStart"/>
      <w:r w:rsidRPr="00880318">
        <w:rPr>
          <w:rFonts w:eastAsia="Times New Roman" w:cstheme="minorHAnsi"/>
          <w:sz w:val="18"/>
          <w:szCs w:val="24"/>
          <w:shd w:val="clear" w:color="auto" w:fill="FFFFFF"/>
        </w:rPr>
        <w:t>She believes that the distribution of the mean difference has a median (red line) of 3 units (i.e. 50% sure that the mean SDQ total score at 8-9 years in non-respondents is higher by 3 units than respondents), with lower</w:t>
      </w:r>
      <w:r w:rsidRPr="00880318">
        <w:rPr>
          <w:rFonts w:eastAsia="Times New Roman" w:cstheme="minorHAnsi"/>
          <w:sz w:val="18"/>
          <w:szCs w:val="24"/>
          <w:shd w:val="clear" w:color="auto" w:fill="FFFFFF"/>
          <w:vertAlign w:val="superscript"/>
        </w:rPr>
        <w:t xml:space="preserve"> </w:t>
      </w:r>
      <w:r w:rsidRPr="00880318">
        <w:rPr>
          <w:rFonts w:eastAsia="Times New Roman" w:cstheme="minorHAnsi"/>
          <w:sz w:val="18"/>
          <w:szCs w:val="24"/>
          <w:shd w:val="clear" w:color="auto" w:fill="FFFFFF"/>
        </w:rPr>
        <w:t>(green line) and upper (blue line) quartiles of 1 and 7 units (i.e. 50% sure that the mean SDQ total score at 8-9 years in non-respondents is higher by 1 up to 7 units than respondents), respectively.</w:t>
      </w:r>
      <w:proofErr w:type="gramEnd"/>
      <w:r w:rsidRPr="00880318">
        <w:rPr>
          <w:rFonts w:eastAsia="Times New Roman" w:cstheme="minorHAnsi"/>
          <w:sz w:val="18"/>
          <w:szCs w:val="24"/>
          <w:shd w:val="clear" w:color="auto" w:fill="FFFFFF"/>
        </w:rPr>
        <w:t xml:space="preserve"> </w:t>
      </w:r>
    </w:p>
    <w:p w:rsidR="0080068E" w:rsidRDefault="0080068E" w:rsidP="0080068E">
      <w:pPr>
        <w:spacing w:after="0"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 xml:space="preserve">Figure 1 illustrates the expert’s probability distribution function for the mean difference in the SDQ total score at 8-9 years between LSAC non-respondents and respondents. The values </w:t>
      </w:r>
      <w:proofErr w:type="gramStart"/>
      <w:r w:rsidRPr="00880318">
        <w:rPr>
          <w:rFonts w:eastAsia="Times New Roman" w:cstheme="minorHAnsi"/>
          <w:sz w:val="18"/>
          <w:szCs w:val="24"/>
          <w:shd w:val="clear" w:color="auto" w:fill="FFFFFF"/>
        </w:rPr>
        <w:t>are also given</w:t>
      </w:r>
      <w:proofErr w:type="gramEnd"/>
      <w:r w:rsidRPr="00880318">
        <w:rPr>
          <w:rFonts w:eastAsia="Times New Roman" w:cstheme="minorHAnsi"/>
          <w:sz w:val="18"/>
          <w:szCs w:val="24"/>
          <w:shd w:val="clear" w:color="auto" w:fill="FFFFFF"/>
        </w:rPr>
        <w:t xml:space="preserve"> in Table 2.</w:t>
      </w:r>
    </w:p>
    <w:p w:rsidR="00CE0D7A" w:rsidRPr="00880318" w:rsidRDefault="00CE0D7A" w:rsidP="0080068E">
      <w:pPr>
        <w:spacing w:after="0" w:line="360" w:lineRule="auto"/>
        <w:jc w:val="both"/>
        <w:rPr>
          <w:rFonts w:cstheme="minorHAnsi"/>
          <w:sz w:val="18"/>
          <w:szCs w:val="21"/>
          <w:shd w:val="clear" w:color="auto" w:fill="FFFFFF"/>
        </w:rPr>
      </w:pPr>
      <w:r>
        <w:rPr>
          <w:noProof/>
        </w:rPr>
        <w:drawing>
          <wp:inline distT="0" distB="0" distL="0" distR="0" wp14:anchorId="3881B4F4" wp14:editId="1386A0D1">
            <wp:extent cx="3886200" cy="1916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86200" cy="1916430"/>
                    </a:xfrm>
                    <a:prstGeom prst="rect">
                      <a:avLst/>
                    </a:prstGeom>
                  </pic:spPr>
                </pic:pic>
              </a:graphicData>
            </a:graphic>
          </wp:inline>
        </w:drawing>
      </w:r>
    </w:p>
    <w:p w:rsidR="00CE0D7A" w:rsidRPr="00CE0D7A" w:rsidRDefault="0080068E" w:rsidP="00CE0D7A">
      <w:pPr>
        <w:pStyle w:val="Caption"/>
        <w:jc w:val="both"/>
        <w:rPr>
          <w:rFonts w:cstheme="minorHAnsi"/>
          <w:color w:val="000000" w:themeColor="text1"/>
          <w:shd w:val="clear" w:color="auto" w:fill="FFFFFF"/>
        </w:rPr>
      </w:pPr>
      <w:r w:rsidRPr="00A461FF">
        <w:rPr>
          <w:rFonts w:eastAsia="Times New Roman" w:cstheme="minorHAnsi"/>
          <w:color w:val="000000" w:themeColor="text1"/>
        </w:rPr>
        <w:t xml:space="preserve">Figure </w:t>
      </w:r>
      <w:proofErr w:type="gramStart"/>
      <w:r w:rsidRPr="00A461FF">
        <w:rPr>
          <w:rFonts w:eastAsia="Times New Roman" w:cstheme="minorHAnsi"/>
          <w:color w:val="000000" w:themeColor="text1"/>
        </w:rPr>
        <w:t>1</w:t>
      </w:r>
      <w:proofErr w:type="gramEnd"/>
      <w:r w:rsidRPr="00A461FF">
        <w:rPr>
          <w:rFonts w:eastAsia="Times New Roman" w:cstheme="minorHAnsi"/>
          <w:color w:val="000000" w:themeColor="text1"/>
        </w:rPr>
        <w:t xml:space="preserve"> </w:t>
      </w:r>
      <w:r w:rsidRPr="00A461FF">
        <w:rPr>
          <w:rFonts w:eastAsia="Times New Roman" w:cstheme="minorHAnsi"/>
          <w:b w:val="0"/>
          <w:bCs w:val="0"/>
          <w:color w:val="000000" w:themeColor="text1"/>
        </w:rPr>
        <w:t>Hypothetical example of expert’s probability density function for the mean difference in SDQ total score at 8-9 years between non-respondents and respondents.</w:t>
      </w:r>
    </w:p>
    <w:p w:rsidR="0080068E" w:rsidRPr="00880318" w:rsidRDefault="0080068E" w:rsidP="0080068E">
      <w:pPr>
        <w:rPr>
          <w:rFonts w:cstheme="minorHAnsi"/>
          <w:b/>
          <w:sz w:val="20"/>
        </w:rPr>
      </w:pPr>
      <w:r w:rsidRPr="00880318">
        <w:rPr>
          <w:rFonts w:eastAsia="Times New Roman" w:cstheme="minorHAnsi"/>
          <w:b/>
          <w:bCs/>
          <w:sz w:val="20"/>
          <w:szCs w:val="28"/>
        </w:rPr>
        <w:lastRenderedPageBreak/>
        <w:t>Characteristics of maternal emotional di</w:t>
      </w:r>
      <w:bookmarkStart w:id="1" w:name="_GoBack"/>
      <w:bookmarkEnd w:id="1"/>
      <w:r w:rsidRPr="00880318">
        <w:rPr>
          <w:rFonts w:eastAsia="Times New Roman" w:cstheme="minorHAnsi"/>
          <w:b/>
          <w:bCs/>
          <w:sz w:val="20"/>
          <w:szCs w:val="28"/>
        </w:rPr>
        <w:t>stress at 4-5 years</w:t>
      </w:r>
    </w:p>
    <w:p w:rsidR="0080068E" w:rsidRPr="00880318" w:rsidRDefault="0080068E" w:rsidP="00CE0D7A">
      <w:pPr>
        <w:spacing w:line="360" w:lineRule="auto"/>
        <w:jc w:val="both"/>
        <w:rPr>
          <w:rFonts w:cstheme="minorHAnsi"/>
          <w:sz w:val="18"/>
        </w:rPr>
      </w:pPr>
      <w:r w:rsidRPr="00880318">
        <w:rPr>
          <w:rFonts w:eastAsia="Times New Roman" w:cstheme="minorHAnsi"/>
          <w:sz w:val="18"/>
          <w:szCs w:val="24"/>
        </w:rPr>
        <w:t xml:space="preserve">The primary exposure of interest is mother’s emotional distress at </w:t>
      </w:r>
      <w:r w:rsidRPr="00880318">
        <w:rPr>
          <w:rFonts w:eastAsia="Times New Roman" w:cstheme="minorHAnsi"/>
          <w:sz w:val="18"/>
          <w:szCs w:val="24"/>
          <w:shd w:val="clear" w:color="auto" w:fill="FFFFFF"/>
        </w:rPr>
        <w:t>4-5 years</w:t>
      </w:r>
      <w:r w:rsidRPr="00880318">
        <w:rPr>
          <w:rFonts w:eastAsia="Times New Roman" w:cstheme="minorHAnsi"/>
          <w:sz w:val="18"/>
          <w:szCs w:val="24"/>
        </w:rPr>
        <w:t xml:space="preserve">, measured by Kessler-6 (K-6) depression scale ranged between 1 – 5 and averaged over six items about a person’s anxiety and depression symptoms in the most recent four weeks. </w:t>
      </w:r>
      <w:proofErr w:type="gramStart"/>
      <w:r w:rsidRPr="00880318">
        <w:rPr>
          <w:rFonts w:eastAsia="Times New Roman" w:cstheme="minorHAnsi"/>
          <w:sz w:val="18"/>
          <w:szCs w:val="24"/>
        </w:rPr>
        <w:t xml:space="preserve">Since the distribution of mother’s emotional distress was left-skewed, with the bulk of the observations on the higher scores (i.e. 4 – 5), we </w:t>
      </w:r>
      <w:proofErr w:type="spellStart"/>
      <w:r w:rsidRPr="00880318">
        <w:rPr>
          <w:rFonts w:eastAsia="Times New Roman" w:cstheme="minorHAnsi"/>
          <w:sz w:val="18"/>
          <w:szCs w:val="24"/>
        </w:rPr>
        <w:t>dichotomised</w:t>
      </w:r>
      <w:proofErr w:type="spellEnd"/>
      <w:r w:rsidRPr="00880318">
        <w:rPr>
          <w:rFonts w:eastAsia="Times New Roman" w:cstheme="minorHAnsi"/>
          <w:sz w:val="18"/>
          <w:szCs w:val="24"/>
        </w:rPr>
        <w:t xml:space="preserve"> this variable for the purpose of our case study such that 1 represents a category with “probable serious mental illness” (i.e. average K-6 score less than 4), and 0 represents a category with “no probable serious mental illness” (i.e. average K-6 score greater or equal to 4).</w:t>
      </w:r>
      <w:proofErr w:type="gramEnd"/>
      <w:r w:rsidRPr="00880318">
        <w:rPr>
          <w:rFonts w:eastAsia="Times New Roman" w:cstheme="minorHAnsi"/>
          <w:sz w:val="18"/>
          <w:szCs w:val="24"/>
        </w:rPr>
        <w:t xml:space="preserve"> The higher averaged score represents the better mother’s mental status.</w:t>
      </w:r>
    </w:p>
    <w:p w:rsidR="0080068E" w:rsidRPr="00A461FF" w:rsidRDefault="0080068E" w:rsidP="00A461FF">
      <w:pPr>
        <w:pStyle w:val="Caption"/>
        <w:keepNext/>
        <w:spacing w:after="0"/>
        <w:jc w:val="both"/>
        <w:rPr>
          <w:rFonts w:cstheme="minorHAnsi"/>
          <w:color w:val="000000" w:themeColor="text1"/>
        </w:rPr>
      </w:pPr>
      <w:r w:rsidRPr="00A461FF">
        <w:rPr>
          <w:rFonts w:eastAsia="Times New Roman" w:cstheme="minorHAnsi"/>
          <w:color w:val="000000" w:themeColor="text1"/>
        </w:rPr>
        <w:t>Table 3.</w:t>
      </w:r>
      <w:r w:rsidRPr="00A461FF">
        <w:rPr>
          <w:rFonts w:eastAsia="Times New Roman" w:cstheme="minorHAnsi"/>
          <w:b w:val="0"/>
          <w:bCs w:val="0"/>
          <w:color w:val="000000" w:themeColor="text1"/>
        </w:rPr>
        <w:t xml:space="preserve"> Distribution of maternal emotional distress for LSAC participants who responded to the questionnaire at 4-5 years (4164 out of 4983).</w:t>
      </w:r>
    </w:p>
    <w:tbl>
      <w:tblPr>
        <w:tblStyle w:val="TableGrid"/>
        <w:tblW w:w="4698" w:type="dxa"/>
        <w:jc w:val="cente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ayout w:type="fixed"/>
        <w:tblLook w:val="04A0" w:firstRow="1" w:lastRow="0" w:firstColumn="1" w:lastColumn="0" w:noHBand="0" w:noVBand="1"/>
      </w:tblPr>
      <w:tblGrid>
        <w:gridCol w:w="2827"/>
        <w:gridCol w:w="1072"/>
        <w:gridCol w:w="799"/>
      </w:tblGrid>
      <w:tr w:rsidR="0080068E" w:rsidRPr="00A461FF" w:rsidTr="00CE0D7A">
        <w:trPr>
          <w:jc w:val="center"/>
        </w:trPr>
        <w:tc>
          <w:tcPr>
            <w:tcW w:w="2827" w:type="dxa"/>
            <w:tcBorders>
              <w:top w:val="single" w:sz="12" w:space="0" w:color="auto"/>
              <w:left w:val="nil"/>
            </w:tcBorders>
          </w:tcPr>
          <w:p w:rsidR="0080068E" w:rsidRPr="00A461FF" w:rsidRDefault="0080068E" w:rsidP="000A711A">
            <w:pPr>
              <w:rPr>
                <w:rFonts w:cstheme="minorHAnsi"/>
                <w:sz w:val="18"/>
                <w:szCs w:val="18"/>
              </w:rPr>
            </w:pPr>
            <w:r w:rsidRPr="00A461FF">
              <w:rPr>
                <w:rFonts w:eastAsia="Times New Roman" w:cstheme="minorHAnsi"/>
                <w:sz w:val="18"/>
                <w:szCs w:val="18"/>
              </w:rPr>
              <w:t>Mother emotional distress</w:t>
            </w:r>
          </w:p>
        </w:tc>
        <w:tc>
          <w:tcPr>
            <w:tcW w:w="1072" w:type="dxa"/>
            <w:tcBorders>
              <w:top w:val="single" w:sz="12" w:space="0" w:color="auto"/>
            </w:tcBorders>
          </w:tcPr>
          <w:p w:rsidR="0080068E" w:rsidRPr="00A461FF" w:rsidRDefault="0080068E" w:rsidP="000A711A">
            <w:pPr>
              <w:rPr>
                <w:rFonts w:cstheme="minorHAnsi"/>
                <w:sz w:val="18"/>
                <w:szCs w:val="18"/>
              </w:rPr>
            </w:pPr>
            <w:r w:rsidRPr="00A461FF">
              <w:rPr>
                <w:rFonts w:eastAsia="Times New Roman" w:cstheme="minorHAnsi"/>
                <w:sz w:val="18"/>
                <w:szCs w:val="18"/>
              </w:rPr>
              <w:t>Frequency</w:t>
            </w:r>
          </w:p>
        </w:tc>
        <w:tc>
          <w:tcPr>
            <w:tcW w:w="799" w:type="dxa"/>
            <w:tcBorders>
              <w:top w:val="single" w:sz="12" w:space="0" w:color="auto"/>
              <w:right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Percent</w:t>
            </w:r>
          </w:p>
        </w:tc>
      </w:tr>
      <w:tr w:rsidR="0080068E" w:rsidRPr="00A461FF" w:rsidTr="00CE0D7A">
        <w:trPr>
          <w:jc w:val="center"/>
        </w:trPr>
        <w:tc>
          <w:tcPr>
            <w:tcW w:w="2827" w:type="dxa"/>
            <w:tcBorders>
              <w:left w:val="nil"/>
              <w:bottom w:val="nil"/>
            </w:tcBorders>
          </w:tcPr>
          <w:p w:rsidR="0080068E" w:rsidRPr="00A461FF" w:rsidRDefault="0080068E" w:rsidP="000A711A">
            <w:pPr>
              <w:spacing w:line="360" w:lineRule="auto"/>
              <w:rPr>
                <w:rFonts w:cstheme="minorHAnsi"/>
                <w:sz w:val="18"/>
                <w:szCs w:val="18"/>
              </w:rPr>
            </w:pPr>
            <w:r w:rsidRPr="00A461FF">
              <w:rPr>
                <w:rFonts w:eastAsia="Times New Roman" w:cstheme="minorHAnsi"/>
                <w:sz w:val="18"/>
                <w:szCs w:val="18"/>
              </w:rPr>
              <w:t>No probable serious mental illness</w:t>
            </w:r>
          </w:p>
        </w:tc>
        <w:tc>
          <w:tcPr>
            <w:tcW w:w="1072" w:type="dxa"/>
            <w:tcBorders>
              <w:bottom w:val="nil"/>
            </w:tcBorders>
          </w:tcPr>
          <w:p w:rsidR="0080068E" w:rsidRPr="00A461FF" w:rsidRDefault="0080068E" w:rsidP="000A711A">
            <w:pPr>
              <w:spacing w:line="360" w:lineRule="auto"/>
              <w:rPr>
                <w:rFonts w:cstheme="minorHAnsi"/>
                <w:sz w:val="18"/>
                <w:szCs w:val="18"/>
              </w:rPr>
            </w:pPr>
            <w:r w:rsidRPr="00A461FF">
              <w:rPr>
                <w:rFonts w:eastAsia="Times New Roman" w:cstheme="minorHAnsi"/>
                <w:sz w:val="18"/>
                <w:szCs w:val="18"/>
              </w:rPr>
              <w:t>3296</w:t>
            </w:r>
          </w:p>
        </w:tc>
        <w:tc>
          <w:tcPr>
            <w:tcW w:w="799" w:type="dxa"/>
            <w:tcBorders>
              <w:bottom w:val="nil"/>
              <w:right w:val="nil"/>
            </w:tcBorders>
          </w:tcPr>
          <w:p w:rsidR="0080068E" w:rsidRPr="00A461FF" w:rsidRDefault="0080068E" w:rsidP="000A711A">
            <w:pPr>
              <w:spacing w:line="360" w:lineRule="auto"/>
              <w:jc w:val="center"/>
              <w:rPr>
                <w:rFonts w:cstheme="minorHAnsi"/>
                <w:sz w:val="18"/>
                <w:szCs w:val="18"/>
              </w:rPr>
            </w:pPr>
            <w:r w:rsidRPr="00A461FF">
              <w:rPr>
                <w:rFonts w:eastAsia="Times New Roman" w:cstheme="minorHAnsi"/>
                <w:sz w:val="18"/>
                <w:szCs w:val="18"/>
              </w:rPr>
              <w:t>79%</w:t>
            </w:r>
          </w:p>
        </w:tc>
      </w:tr>
      <w:tr w:rsidR="0080068E" w:rsidRPr="00A461FF" w:rsidTr="00CE0D7A">
        <w:trPr>
          <w:jc w:val="center"/>
        </w:trPr>
        <w:tc>
          <w:tcPr>
            <w:tcW w:w="2827" w:type="dxa"/>
            <w:tcBorders>
              <w:top w:val="nil"/>
              <w:left w:val="nil"/>
              <w:bottom w:val="single" w:sz="12" w:space="0" w:color="auto"/>
            </w:tcBorders>
          </w:tcPr>
          <w:p w:rsidR="0080068E" w:rsidRPr="00A461FF" w:rsidRDefault="0080068E" w:rsidP="000A711A">
            <w:pPr>
              <w:rPr>
                <w:rFonts w:cstheme="minorHAnsi"/>
                <w:sz w:val="18"/>
                <w:szCs w:val="18"/>
              </w:rPr>
            </w:pPr>
            <w:r w:rsidRPr="00A461FF">
              <w:rPr>
                <w:rFonts w:eastAsia="Times New Roman" w:cstheme="minorHAnsi"/>
                <w:sz w:val="18"/>
                <w:szCs w:val="18"/>
              </w:rPr>
              <w:t xml:space="preserve">Probable serious mental illness </w:t>
            </w:r>
          </w:p>
        </w:tc>
        <w:tc>
          <w:tcPr>
            <w:tcW w:w="1072" w:type="dxa"/>
            <w:tcBorders>
              <w:top w:val="nil"/>
              <w:bottom w:val="single" w:sz="12" w:space="0" w:color="auto"/>
            </w:tcBorders>
          </w:tcPr>
          <w:p w:rsidR="0080068E" w:rsidRPr="00A461FF" w:rsidRDefault="0080068E" w:rsidP="000A711A">
            <w:pPr>
              <w:rPr>
                <w:rFonts w:cstheme="minorHAnsi"/>
                <w:sz w:val="18"/>
                <w:szCs w:val="18"/>
              </w:rPr>
            </w:pPr>
            <w:r w:rsidRPr="00A461FF">
              <w:rPr>
                <w:rFonts w:eastAsia="Times New Roman" w:cstheme="minorHAnsi"/>
                <w:sz w:val="18"/>
                <w:szCs w:val="18"/>
              </w:rPr>
              <w:t>868</w:t>
            </w:r>
          </w:p>
        </w:tc>
        <w:tc>
          <w:tcPr>
            <w:tcW w:w="799" w:type="dxa"/>
            <w:tcBorders>
              <w:top w:val="nil"/>
              <w:bottom w:val="single" w:sz="12" w:space="0" w:color="auto"/>
              <w:right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21%</w:t>
            </w:r>
          </w:p>
        </w:tc>
      </w:tr>
    </w:tbl>
    <w:p w:rsidR="0080068E" w:rsidRPr="00A461FF" w:rsidRDefault="0080068E" w:rsidP="00A461FF">
      <w:pPr>
        <w:spacing w:before="240" w:line="360" w:lineRule="auto"/>
        <w:jc w:val="both"/>
        <w:rPr>
          <w:rFonts w:eastAsia="Times New Roman" w:cstheme="minorHAnsi"/>
          <w:sz w:val="18"/>
          <w:szCs w:val="18"/>
          <w:shd w:val="clear" w:color="auto" w:fill="FFFFFF"/>
        </w:rPr>
      </w:pPr>
      <w:r w:rsidRPr="00A461FF">
        <w:rPr>
          <w:rFonts w:eastAsia="Times New Roman" w:cstheme="minorHAnsi"/>
          <w:sz w:val="18"/>
          <w:szCs w:val="18"/>
          <w:shd w:val="clear" w:color="auto" w:fill="FFFFFF"/>
        </w:rPr>
        <w:t xml:space="preserve">What is your expectation for the average shift in the proportion of mothers who </w:t>
      </w:r>
      <w:r w:rsidRPr="00880318">
        <w:rPr>
          <w:rFonts w:eastAsia="Times New Roman" w:cstheme="minorHAnsi"/>
          <w:sz w:val="18"/>
          <w:szCs w:val="24"/>
          <w:shd w:val="clear" w:color="auto" w:fill="FFFFFF"/>
        </w:rPr>
        <w:t xml:space="preserve">were emotionally distressed at 4-5 years between LSAC non-respondents and respondents? Please complete Table 4 below (an explanation of the hypothetical </w:t>
      </w:r>
      <w:r w:rsidRPr="00A461FF">
        <w:rPr>
          <w:rFonts w:eastAsia="Times New Roman" w:cstheme="minorHAnsi"/>
          <w:sz w:val="18"/>
          <w:szCs w:val="18"/>
          <w:shd w:val="clear" w:color="auto" w:fill="FFFFFF"/>
        </w:rPr>
        <w:t xml:space="preserve">example </w:t>
      </w:r>
      <w:proofErr w:type="gramStart"/>
      <w:r w:rsidRPr="00A461FF">
        <w:rPr>
          <w:rFonts w:eastAsia="Times New Roman" w:cstheme="minorHAnsi"/>
          <w:sz w:val="18"/>
          <w:szCs w:val="18"/>
          <w:shd w:val="clear" w:color="auto" w:fill="FFFFFF"/>
        </w:rPr>
        <w:t>is provided</w:t>
      </w:r>
      <w:proofErr w:type="gramEnd"/>
      <w:r w:rsidRPr="00A461FF">
        <w:rPr>
          <w:rFonts w:eastAsia="Times New Roman" w:cstheme="minorHAnsi"/>
          <w:sz w:val="18"/>
          <w:szCs w:val="18"/>
          <w:shd w:val="clear" w:color="auto" w:fill="FFFFFF"/>
        </w:rPr>
        <w:t xml:space="preserve"> on the next page).</w:t>
      </w:r>
    </w:p>
    <w:p w:rsidR="0080068E" w:rsidRPr="00A461FF" w:rsidRDefault="0080068E" w:rsidP="00A461FF">
      <w:pPr>
        <w:pStyle w:val="Caption"/>
        <w:keepNext/>
        <w:spacing w:after="0"/>
        <w:jc w:val="both"/>
        <w:rPr>
          <w:rFonts w:cstheme="minorHAnsi"/>
          <w:color w:val="000000" w:themeColor="text1"/>
        </w:rPr>
      </w:pPr>
      <w:r w:rsidRPr="00A461FF">
        <w:rPr>
          <w:rFonts w:eastAsia="Times New Roman" w:cstheme="minorHAnsi"/>
          <w:color w:val="000000" w:themeColor="text1"/>
        </w:rPr>
        <w:t xml:space="preserve">Table 4. </w:t>
      </w:r>
      <w:r w:rsidRPr="00A461FF">
        <w:rPr>
          <w:rFonts w:eastAsia="Times New Roman" w:cstheme="minorHAnsi"/>
          <w:b w:val="0"/>
          <w:bCs w:val="0"/>
          <w:color w:val="000000" w:themeColor="text1"/>
        </w:rPr>
        <w:t>Elicitation of prior information for the distribution of average shift in proportion of mothers who were emotionally distressed at 4-5 years between LSAC non-respondents and respondents.</w:t>
      </w:r>
    </w:p>
    <w:tbl>
      <w:tblPr>
        <w:tblStyle w:val="TableGrid"/>
        <w:tblW w:w="6025"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0"/>
        <w:gridCol w:w="930"/>
        <w:gridCol w:w="998"/>
        <w:gridCol w:w="999"/>
        <w:gridCol w:w="803"/>
        <w:gridCol w:w="1015"/>
      </w:tblGrid>
      <w:tr w:rsidR="0080068E" w:rsidRPr="00A461FF" w:rsidTr="00CE0D7A">
        <w:trPr>
          <w:jc w:val="center"/>
        </w:trPr>
        <w:tc>
          <w:tcPr>
            <w:tcW w:w="1280" w:type="dxa"/>
            <w:tcBorders>
              <w:top w:val="single" w:sz="12" w:space="0" w:color="auto"/>
              <w:bottom w:val="nil"/>
            </w:tcBorders>
          </w:tcPr>
          <w:p w:rsidR="0080068E" w:rsidRPr="00A461FF" w:rsidRDefault="0080068E" w:rsidP="000A711A">
            <w:pPr>
              <w:jc w:val="both"/>
              <w:rPr>
                <w:rFonts w:cstheme="minorHAnsi"/>
                <w:sz w:val="18"/>
                <w:szCs w:val="18"/>
              </w:rPr>
            </w:pPr>
          </w:p>
        </w:tc>
        <w:tc>
          <w:tcPr>
            <w:tcW w:w="930"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Minimum</w:t>
            </w:r>
          </w:p>
        </w:tc>
        <w:tc>
          <w:tcPr>
            <w:tcW w:w="998"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 xml:space="preserve">Lower </w:t>
            </w:r>
          </w:p>
        </w:tc>
        <w:tc>
          <w:tcPr>
            <w:tcW w:w="999"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Median</w:t>
            </w:r>
          </w:p>
        </w:tc>
        <w:tc>
          <w:tcPr>
            <w:tcW w:w="803"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New Roman" w:cstheme="minorHAnsi"/>
                <w:sz w:val="18"/>
                <w:szCs w:val="18"/>
              </w:rPr>
              <w:t xml:space="preserve">Upper </w:t>
            </w:r>
          </w:p>
        </w:tc>
        <w:tc>
          <w:tcPr>
            <w:tcW w:w="1015" w:type="dxa"/>
            <w:tcBorders>
              <w:top w:val="single" w:sz="12" w:space="0" w:color="auto"/>
              <w:bottom w:val="nil"/>
            </w:tcBorders>
          </w:tcPr>
          <w:p w:rsidR="0080068E" w:rsidRPr="00A461FF" w:rsidRDefault="0080068E" w:rsidP="000A711A">
            <w:pPr>
              <w:jc w:val="center"/>
              <w:rPr>
                <w:rFonts w:cstheme="minorHAnsi"/>
                <w:sz w:val="18"/>
                <w:szCs w:val="18"/>
              </w:rPr>
            </w:pPr>
            <w:r w:rsidRPr="00A461FF">
              <w:rPr>
                <w:rFonts w:eastAsia="Times" w:cstheme="minorHAnsi"/>
                <w:sz w:val="18"/>
                <w:szCs w:val="18"/>
              </w:rPr>
              <w:t>Maximum</w:t>
            </w:r>
          </w:p>
        </w:tc>
      </w:tr>
      <w:tr w:rsidR="0080068E" w:rsidRPr="00A461FF" w:rsidTr="00CE0D7A">
        <w:trPr>
          <w:jc w:val="center"/>
        </w:trPr>
        <w:tc>
          <w:tcPr>
            <w:tcW w:w="1280" w:type="dxa"/>
            <w:tcBorders>
              <w:top w:val="nil"/>
              <w:bottom w:val="single" w:sz="4" w:space="0" w:color="auto"/>
            </w:tcBorders>
          </w:tcPr>
          <w:p w:rsidR="0080068E" w:rsidRPr="00A461FF" w:rsidRDefault="0080068E" w:rsidP="000A711A">
            <w:pPr>
              <w:jc w:val="both"/>
              <w:rPr>
                <w:rFonts w:cstheme="minorHAnsi"/>
                <w:sz w:val="18"/>
                <w:szCs w:val="18"/>
              </w:rPr>
            </w:pPr>
          </w:p>
        </w:tc>
        <w:tc>
          <w:tcPr>
            <w:tcW w:w="930" w:type="dxa"/>
            <w:tcBorders>
              <w:top w:val="nil"/>
              <w:bottom w:val="single" w:sz="4" w:space="0" w:color="auto"/>
            </w:tcBorders>
          </w:tcPr>
          <w:p w:rsidR="0080068E" w:rsidRPr="00A461FF" w:rsidRDefault="0080068E" w:rsidP="000A711A">
            <w:pPr>
              <w:jc w:val="center"/>
              <w:rPr>
                <w:rFonts w:eastAsia="Times New Roman" w:cstheme="minorHAnsi"/>
                <w:sz w:val="18"/>
                <w:szCs w:val="18"/>
              </w:rPr>
            </w:pPr>
          </w:p>
        </w:tc>
        <w:tc>
          <w:tcPr>
            <w:tcW w:w="998" w:type="dxa"/>
            <w:tcBorders>
              <w:top w:val="nil"/>
              <w:bottom w:val="single" w:sz="4" w:space="0" w:color="auto"/>
            </w:tcBorders>
          </w:tcPr>
          <w:p w:rsidR="0080068E" w:rsidRPr="00A461FF" w:rsidRDefault="0080068E" w:rsidP="000A711A">
            <w:pPr>
              <w:jc w:val="center"/>
              <w:rPr>
                <w:rFonts w:eastAsia="Times New Roman" w:cstheme="minorHAnsi"/>
                <w:sz w:val="18"/>
                <w:szCs w:val="18"/>
              </w:rPr>
            </w:pPr>
            <w:r w:rsidRPr="00A461FF">
              <w:rPr>
                <w:rFonts w:eastAsia="Times New Roman" w:cstheme="minorHAnsi"/>
                <w:sz w:val="18"/>
                <w:szCs w:val="18"/>
              </w:rPr>
              <w:t>quartile</w:t>
            </w:r>
          </w:p>
        </w:tc>
        <w:tc>
          <w:tcPr>
            <w:tcW w:w="999" w:type="dxa"/>
            <w:tcBorders>
              <w:top w:val="nil"/>
              <w:bottom w:val="single" w:sz="4" w:space="0" w:color="auto"/>
            </w:tcBorders>
          </w:tcPr>
          <w:p w:rsidR="0080068E" w:rsidRPr="00A461FF" w:rsidRDefault="0080068E" w:rsidP="000A711A">
            <w:pPr>
              <w:jc w:val="center"/>
              <w:rPr>
                <w:rFonts w:eastAsia="Times New Roman" w:cstheme="minorHAnsi"/>
                <w:sz w:val="18"/>
                <w:szCs w:val="18"/>
              </w:rPr>
            </w:pPr>
          </w:p>
        </w:tc>
        <w:tc>
          <w:tcPr>
            <w:tcW w:w="803" w:type="dxa"/>
            <w:tcBorders>
              <w:top w:val="nil"/>
              <w:bottom w:val="single" w:sz="4" w:space="0" w:color="auto"/>
            </w:tcBorders>
          </w:tcPr>
          <w:p w:rsidR="0080068E" w:rsidRPr="00A461FF" w:rsidRDefault="0080068E" w:rsidP="000A711A">
            <w:pPr>
              <w:jc w:val="center"/>
              <w:rPr>
                <w:rFonts w:eastAsia="Times New Roman" w:cstheme="minorHAnsi"/>
                <w:sz w:val="18"/>
                <w:szCs w:val="18"/>
              </w:rPr>
            </w:pPr>
            <w:r w:rsidRPr="00A461FF">
              <w:rPr>
                <w:rFonts w:eastAsia="Times New Roman" w:cstheme="minorHAnsi"/>
                <w:sz w:val="18"/>
                <w:szCs w:val="18"/>
              </w:rPr>
              <w:t>quartile</w:t>
            </w:r>
          </w:p>
        </w:tc>
        <w:tc>
          <w:tcPr>
            <w:tcW w:w="1015" w:type="dxa"/>
            <w:tcBorders>
              <w:top w:val="nil"/>
              <w:bottom w:val="single" w:sz="4" w:space="0" w:color="auto"/>
            </w:tcBorders>
          </w:tcPr>
          <w:p w:rsidR="0080068E" w:rsidRPr="00A461FF" w:rsidRDefault="0080068E" w:rsidP="000A711A">
            <w:pPr>
              <w:jc w:val="center"/>
              <w:rPr>
                <w:rFonts w:eastAsia="Times" w:cstheme="minorHAnsi"/>
                <w:sz w:val="18"/>
                <w:szCs w:val="18"/>
              </w:rPr>
            </w:pPr>
          </w:p>
        </w:tc>
      </w:tr>
      <w:tr w:rsidR="0080068E" w:rsidRPr="00A461FF" w:rsidTr="00CE0D7A">
        <w:trPr>
          <w:trHeight w:val="60"/>
          <w:jc w:val="center"/>
        </w:trPr>
        <w:tc>
          <w:tcPr>
            <w:tcW w:w="1280" w:type="dxa"/>
            <w:tcBorders>
              <w:top w:val="single" w:sz="4" w:space="0" w:color="auto"/>
              <w:bottom w:val="nil"/>
            </w:tcBorders>
          </w:tcPr>
          <w:p w:rsidR="0080068E" w:rsidRPr="00A461FF" w:rsidRDefault="0080068E" w:rsidP="000A711A">
            <w:pPr>
              <w:jc w:val="both"/>
              <w:rPr>
                <w:rFonts w:cstheme="minorHAnsi"/>
                <w:sz w:val="18"/>
                <w:szCs w:val="18"/>
              </w:rPr>
            </w:pPr>
            <w:r w:rsidRPr="00A461FF">
              <w:rPr>
                <w:rFonts w:eastAsia="Times New Roman" w:cstheme="minorHAnsi"/>
                <w:sz w:val="18"/>
                <w:szCs w:val="18"/>
              </w:rPr>
              <w:t xml:space="preserve">Hypothetical </w:t>
            </w:r>
          </w:p>
        </w:tc>
        <w:tc>
          <w:tcPr>
            <w:tcW w:w="930" w:type="dxa"/>
            <w:tcBorders>
              <w:top w:val="single" w:sz="4"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-5%</w:t>
            </w:r>
          </w:p>
        </w:tc>
        <w:tc>
          <w:tcPr>
            <w:tcW w:w="998" w:type="dxa"/>
            <w:tcBorders>
              <w:top w:val="single" w:sz="4"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3%</w:t>
            </w:r>
          </w:p>
        </w:tc>
        <w:tc>
          <w:tcPr>
            <w:tcW w:w="999" w:type="dxa"/>
            <w:tcBorders>
              <w:top w:val="single" w:sz="4"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5%</w:t>
            </w:r>
          </w:p>
        </w:tc>
        <w:tc>
          <w:tcPr>
            <w:tcW w:w="803" w:type="dxa"/>
            <w:tcBorders>
              <w:top w:val="single" w:sz="4" w:space="0" w:color="auto"/>
              <w:bottom w:val="nil"/>
            </w:tcBorders>
            <w:vAlign w:val="center"/>
          </w:tcPr>
          <w:p w:rsidR="0080068E" w:rsidRPr="00A461FF" w:rsidRDefault="0080068E" w:rsidP="000A711A">
            <w:pPr>
              <w:jc w:val="center"/>
              <w:rPr>
                <w:rFonts w:cstheme="minorHAnsi"/>
                <w:sz w:val="18"/>
                <w:szCs w:val="18"/>
              </w:rPr>
            </w:pPr>
            <w:r w:rsidRPr="00A461FF">
              <w:rPr>
                <w:rFonts w:eastAsia="Times New Roman" w:cstheme="minorHAnsi"/>
                <w:sz w:val="18"/>
                <w:szCs w:val="18"/>
              </w:rPr>
              <w:t>9%</w:t>
            </w:r>
          </w:p>
        </w:tc>
        <w:tc>
          <w:tcPr>
            <w:tcW w:w="1015" w:type="dxa"/>
            <w:tcBorders>
              <w:top w:val="single" w:sz="4" w:space="0" w:color="auto"/>
              <w:bottom w:val="nil"/>
            </w:tcBorders>
            <w:vAlign w:val="center"/>
          </w:tcPr>
          <w:p w:rsidR="0080068E" w:rsidRPr="00A461FF" w:rsidRDefault="0080068E" w:rsidP="000A711A">
            <w:pPr>
              <w:jc w:val="center"/>
              <w:rPr>
                <w:rFonts w:cstheme="minorHAnsi"/>
                <w:sz w:val="18"/>
                <w:szCs w:val="18"/>
              </w:rPr>
            </w:pPr>
            <w:r w:rsidRPr="00A461FF">
              <w:rPr>
                <w:rFonts w:eastAsia="Times" w:cstheme="minorHAnsi"/>
                <w:sz w:val="18"/>
                <w:szCs w:val="18"/>
              </w:rPr>
              <w:t>20%</w:t>
            </w:r>
          </w:p>
        </w:tc>
      </w:tr>
      <w:tr w:rsidR="0080068E" w:rsidRPr="00A461FF" w:rsidTr="00CE0D7A">
        <w:trPr>
          <w:jc w:val="center"/>
        </w:trPr>
        <w:tc>
          <w:tcPr>
            <w:tcW w:w="1280" w:type="dxa"/>
            <w:tcBorders>
              <w:top w:val="nil"/>
              <w:bottom w:val="single" w:sz="4" w:space="0" w:color="auto"/>
            </w:tcBorders>
          </w:tcPr>
          <w:p w:rsidR="0080068E" w:rsidRPr="00A461FF" w:rsidRDefault="0080068E" w:rsidP="000A711A">
            <w:pPr>
              <w:jc w:val="both"/>
              <w:rPr>
                <w:rFonts w:eastAsia="Times New Roman" w:cstheme="minorHAnsi"/>
                <w:sz w:val="18"/>
                <w:szCs w:val="18"/>
              </w:rPr>
            </w:pPr>
            <w:r w:rsidRPr="00A461FF">
              <w:rPr>
                <w:rFonts w:eastAsia="Times New Roman" w:cstheme="minorHAnsi"/>
                <w:sz w:val="18"/>
                <w:szCs w:val="18"/>
              </w:rPr>
              <w:t>example</w:t>
            </w:r>
          </w:p>
        </w:tc>
        <w:tc>
          <w:tcPr>
            <w:tcW w:w="930"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998"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999"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803" w:type="dxa"/>
            <w:tcBorders>
              <w:top w:val="nil"/>
              <w:bottom w:val="single" w:sz="4" w:space="0" w:color="auto"/>
            </w:tcBorders>
            <w:vAlign w:val="center"/>
          </w:tcPr>
          <w:p w:rsidR="0080068E" w:rsidRPr="00A461FF" w:rsidRDefault="0080068E" w:rsidP="000A711A">
            <w:pPr>
              <w:jc w:val="center"/>
              <w:rPr>
                <w:rFonts w:eastAsia="Times New Roman" w:cstheme="minorHAnsi"/>
                <w:sz w:val="18"/>
                <w:szCs w:val="18"/>
              </w:rPr>
            </w:pPr>
          </w:p>
        </w:tc>
        <w:tc>
          <w:tcPr>
            <w:tcW w:w="1015" w:type="dxa"/>
            <w:tcBorders>
              <w:top w:val="nil"/>
              <w:bottom w:val="single" w:sz="4" w:space="0" w:color="auto"/>
            </w:tcBorders>
            <w:vAlign w:val="center"/>
          </w:tcPr>
          <w:p w:rsidR="0080068E" w:rsidRPr="00A461FF" w:rsidRDefault="0080068E" w:rsidP="000A711A">
            <w:pPr>
              <w:jc w:val="center"/>
              <w:rPr>
                <w:rFonts w:eastAsia="Times" w:cstheme="minorHAnsi"/>
                <w:sz w:val="18"/>
                <w:szCs w:val="18"/>
              </w:rPr>
            </w:pPr>
          </w:p>
        </w:tc>
      </w:tr>
      <w:tr w:rsidR="0080068E" w:rsidRPr="00A461FF" w:rsidTr="00CE0D7A">
        <w:trPr>
          <w:jc w:val="center"/>
        </w:trPr>
        <w:tc>
          <w:tcPr>
            <w:tcW w:w="1280" w:type="dxa"/>
            <w:tcBorders>
              <w:top w:val="single" w:sz="4" w:space="0" w:color="auto"/>
            </w:tcBorders>
          </w:tcPr>
          <w:p w:rsidR="0080068E" w:rsidRPr="00A461FF" w:rsidRDefault="0080068E" w:rsidP="000A711A">
            <w:pPr>
              <w:jc w:val="both"/>
              <w:rPr>
                <w:rFonts w:cstheme="minorHAnsi"/>
                <w:sz w:val="18"/>
                <w:szCs w:val="18"/>
              </w:rPr>
            </w:pPr>
            <w:r w:rsidRPr="00A461FF">
              <w:rPr>
                <w:rFonts w:eastAsia="Times New Roman" w:cstheme="minorHAnsi"/>
                <w:sz w:val="18"/>
                <w:szCs w:val="18"/>
              </w:rPr>
              <w:t>Your</w:t>
            </w:r>
          </w:p>
        </w:tc>
        <w:tc>
          <w:tcPr>
            <w:tcW w:w="930" w:type="dxa"/>
            <w:tcBorders>
              <w:top w:val="single" w:sz="4" w:space="0" w:color="auto"/>
            </w:tcBorders>
            <w:vAlign w:val="center"/>
          </w:tcPr>
          <w:p w:rsidR="0080068E" w:rsidRPr="00A461FF" w:rsidRDefault="0080068E" w:rsidP="000A711A">
            <w:pPr>
              <w:jc w:val="center"/>
              <w:rPr>
                <w:rFonts w:cstheme="minorHAnsi"/>
                <w:sz w:val="18"/>
                <w:szCs w:val="18"/>
              </w:rPr>
            </w:pPr>
          </w:p>
        </w:tc>
        <w:tc>
          <w:tcPr>
            <w:tcW w:w="998" w:type="dxa"/>
            <w:tcBorders>
              <w:top w:val="single" w:sz="4" w:space="0" w:color="auto"/>
            </w:tcBorders>
            <w:vAlign w:val="center"/>
          </w:tcPr>
          <w:p w:rsidR="0080068E" w:rsidRPr="00A461FF" w:rsidRDefault="0080068E" w:rsidP="000A711A">
            <w:pPr>
              <w:jc w:val="center"/>
              <w:rPr>
                <w:rFonts w:cstheme="minorHAnsi"/>
                <w:sz w:val="18"/>
                <w:szCs w:val="18"/>
              </w:rPr>
            </w:pPr>
          </w:p>
        </w:tc>
        <w:tc>
          <w:tcPr>
            <w:tcW w:w="999" w:type="dxa"/>
            <w:tcBorders>
              <w:top w:val="single" w:sz="4" w:space="0" w:color="auto"/>
            </w:tcBorders>
            <w:vAlign w:val="center"/>
          </w:tcPr>
          <w:p w:rsidR="0080068E" w:rsidRPr="00A461FF" w:rsidRDefault="0080068E" w:rsidP="000A711A">
            <w:pPr>
              <w:jc w:val="center"/>
              <w:rPr>
                <w:rFonts w:cstheme="minorHAnsi"/>
                <w:sz w:val="18"/>
                <w:szCs w:val="18"/>
              </w:rPr>
            </w:pPr>
          </w:p>
        </w:tc>
        <w:tc>
          <w:tcPr>
            <w:tcW w:w="803" w:type="dxa"/>
            <w:tcBorders>
              <w:top w:val="single" w:sz="4" w:space="0" w:color="auto"/>
            </w:tcBorders>
            <w:vAlign w:val="center"/>
          </w:tcPr>
          <w:p w:rsidR="0080068E" w:rsidRPr="00A461FF" w:rsidRDefault="0080068E" w:rsidP="000A711A">
            <w:pPr>
              <w:jc w:val="center"/>
              <w:rPr>
                <w:rFonts w:cstheme="minorHAnsi"/>
                <w:sz w:val="18"/>
                <w:szCs w:val="18"/>
              </w:rPr>
            </w:pPr>
          </w:p>
        </w:tc>
        <w:tc>
          <w:tcPr>
            <w:tcW w:w="1015" w:type="dxa"/>
            <w:tcBorders>
              <w:top w:val="single" w:sz="4" w:space="0" w:color="auto"/>
            </w:tcBorders>
            <w:vAlign w:val="center"/>
          </w:tcPr>
          <w:p w:rsidR="0080068E" w:rsidRPr="00A461FF" w:rsidRDefault="0080068E" w:rsidP="000A711A">
            <w:pPr>
              <w:jc w:val="center"/>
              <w:rPr>
                <w:rFonts w:cstheme="minorHAnsi"/>
                <w:sz w:val="18"/>
                <w:szCs w:val="18"/>
              </w:rPr>
            </w:pPr>
          </w:p>
        </w:tc>
      </w:tr>
      <w:tr w:rsidR="0080068E" w:rsidRPr="00A461FF" w:rsidTr="00CE0D7A">
        <w:trPr>
          <w:jc w:val="center"/>
        </w:trPr>
        <w:tc>
          <w:tcPr>
            <w:tcW w:w="1280" w:type="dxa"/>
          </w:tcPr>
          <w:p w:rsidR="0080068E" w:rsidRPr="00A461FF" w:rsidRDefault="0080068E" w:rsidP="000A711A">
            <w:pPr>
              <w:jc w:val="both"/>
              <w:rPr>
                <w:rFonts w:eastAsia="Times New Roman" w:cstheme="minorHAnsi"/>
                <w:sz w:val="18"/>
                <w:szCs w:val="18"/>
              </w:rPr>
            </w:pPr>
            <w:r w:rsidRPr="00A461FF">
              <w:rPr>
                <w:rFonts w:eastAsia="Times New Roman" w:cstheme="minorHAnsi"/>
                <w:sz w:val="18"/>
                <w:szCs w:val="18"/>
              </w:rPr>
              <w:t>response</w:t>
            </w:r>
          </w:p>
        </w:tc>
        <w:tc>
          <w:tcPr>
            <w:tcW w:w="930" w:type="dxa"/>
            <w:vAlign w:val="center"/>
          </w:tcPr>
          <w:p w:rsidR="0080068E" w:rsidRPr="00A461FF" w:rsidRDefault="0080068E" w:rsidP="000A711A">
            <w:pPr>
              <w:jc w:val="center"/>
              <w:rPr>
                <w:rFonts w:cstheme="minorHAnsi"/>
                <w:sz w:val="18"/>
                <w:szCs w:val="18"/>
              </w:rPr>
            </w:pPr>
          </w:p>
        </w:tc>
        <w:tc>
          <w:tcPr>
            <w:tcW w:w="998" w:type="dxa"/>
            <w:vAlign w:val="center"/>
          </w:tcPr>
          <w:p w:rsidR="0080068E" w:rsidRPr="00A461FF" w:rsidRDefault="0080068E" w:rsidP="000A711A">
            <w:pPr>
              <w:jc w:val="center"/>
              <w:rPr>
                <w:rFonts w:cstheme="minorHAnsi"/>
                <w:sz w:val="18"/>
                <w:szCs w:val="18"/>
              </w:rPr>
            </w:pPr>
          </w:p>
        </w:tc>
        <w:tc>
          <w:tcPr>
            <w:tcW w:w="999" w:type="dxa"/>
            <w:vAlign w:val="center"/>
          </w:tcPr>
          <w:p w:rsidR="0080068E" w:rsidRPr="00A461FF" w:rsidRDefault="0080068E" w:rsidP="000A711A">
            <w:pPr>
              <w:jc w:val="center"/>
              <w:rPr>
                <w:rFonts w:cstheme="minorHAnsi"/>
                <w:sz w:val="18"/>
                <w:szCs w:val="18"/>
              </w:rPr>
            </w:pPr>
          </w:p>
        </w:tc>
        <w:tc>
          <w:tcPr>
            <w:tcW w:w="803" w:type="dxa"/>
            <w:vAlign w:val="center"/>
          </w:tcPr>
          <w:p w:rsidR="0080068E" w:rsidRPr="00A461FF" w:rsidRDefault="0080068E" w:rsidP="000A711A">
            <w:pPr>
              <w:jc w:val="center"/>
              <w:rPr>
                <w:rFonts w:cstheme="minorHAnsi"/>
                <w:sz w:val="18"/>
                <w:szCs w:val="18"/>
              </w:rPr>
            </w:pPr>
          </w:p>
        </w:tc>
        <w:tc>
          <w:tcPr>
            <w:tcW w:w="1015" w:type="dxa"/>
            <w:vAlign w:val="center"/>
          </w:tcPr>
          <w:p w:rsidR="0080068E" w:rsidRPr="00A461FF" w:rsidRDefault="0080068E" w:rsidP="000A711A">
            <w:pPr>
              <w:jc w:val="center"/>
              <w:rPr>
                <w:rFonts w:cstheme="minorHAnsi"/>
                <w:sz w:val="18"/>
                <w:szCs w:val="18"/>
              </w:rPr>
            </w:pPr>
          </w:p>
        </w:tc>
      </w:tr>
    </w:tbl>
    <w:p w:rsidR="0080068E" w:rsidRPr="00A461FF" w:rsidRDefault="0080068E" w:rsidP="0080068E">
      <w:pPr>
        <w:pStyle w:val="ListParagraph"/>
        <w:numPr>
          <w:ilvl w:val="0"/>
          <w:numId w:val="1"/>
        </w:numPr>
        <w:spacing w:before="240" w:after="0" w:line="360" w:lineRule="auto"/>
        <w:jc w:val="both"/>
        <w:rPr>
          <w:rFonts w:eastAsia="Times New Roman" w:cstheme="minorHAnsi"/>
          <w:sz w:val="18"/>
          <w:szCs w:val="18"/>
          <w:shd w:val="clear" w:color="auto" w:fill="FFFFFF"/>
        </w:rPr>
      </w:pPr>
      <w:r w:rsidRPr="00A461FF">
        <w:rPr>
          <w:rFonts w:eastAsia="Times New Roman" w:cstheme="minorHAnsi"/>
          <w:sz w:val="18"/>
          <w:szCs w:val="18"/>
          <w:shd w:val="clear" w:color="auto" w:fill="FFFFFF"/>
        </w:rPr>
        <w:t>Minimum – the smallest value of the average shift in the proportion.</w:t>
      </w:r>
    </w:p>
    <w:p w:rsidR="0080068E" w:rsidRPr="00880318" w:rsidRDefault="0080068E" w:rsidP="0080068E">
      <w:pPr>
        <w:pStyle w:val="ListParagraph"/>
        <w:numPr>
          <w:ilvl w:val="0"/>
          <w:numId w:val="1"/>
        </w:numPr>
        <w:spacing w:before="240" w:after="0"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Maximum – the largest value of the average shift in the proportion.</w:t>
      </w:r>
    </w:p>
    <w:p w:rsidR="0080068E" w:rsidRPr="00880318" w:rsidRDefault="0080068E" w:rsidP="0080068E">
      <w:pPr>
        <w:pStyle w:val="ListParagraph"/>
        <w:numPr>
          <w:ilvl w:val="0"/>
          <w:numId w:val="1"/>
        </w:numPr>
        <w:spacing w:before="240" w:after="0"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 xml:space="preserve">Median – a value that the average shift in the proportion is equally likely to be less than or greater than this point (the </w:t>
      </w:r>
      <w:proofErr w:type="gramStart"/>
      <w:r w:rsidRPr="00880318">
        <w:rPr>
          <w:rFonts w:eastAsia="Times New Roman" w:cstheme="minorHAnsi"/>
          <w:sz w:val="18"/>
          <w:szCs w:val="24"/>
          <w:shd w:val="clear" w:color="auto" w:fill="FFFFFF"/>
        </w:rPr>
        <w:t>level which</w:t>
      </w:r>
      <w:proofErr w:type="gramEnd"/>
      <w:r w:rsidRPr="00880318">
        <w:rPr>
          <w:rFonts w:eastAsia="Times New Roman" w:cstheme="minorHAnsi"/>
          <w:sz w:val="18"/>
          <w:szCs w:val="24"/>
          <w:shd w:val="clear" w:color="auto" w:fill="FFFFFF"/>
        </w:rPr>
        <w:t xml:space="preserve"> you believe the shift is most likely to be.</w:t>
      </w:r>
    </w:p>
    <w:p w:rsidR="0080068E" w:rsidRPr="00880318" w:rsidRDefault="0080068E" w:rsidP="0080068E">
      <w:pPr>
        <w:pStyle w:val="ListParagraph"/>
        <w:numPr>
          <w:ilvl w:val="0"/>
          <w:numId w:val="1"/>
        </w:numPr>
        <w:spacing w:before="240" w:after="0" w:line="360" w:lineRule="auto"/>
        <w:jc w:val="both"/>
        <w:rPr>
          <w:rFonts w:eastAsia="Times New Roman" w:cstheme="minorHAnsi"/>
          <w:sz w:val="18"/>
          <w:szCs w:val="24"/>
          <w:shd w:val="clear" w:color="auto" w:fill="FFFFFF"/>
        </w:rPr>
      </w:pPr>
      <w:r w:rsidRPr="00880318">
        <w:rPr>
          <w:rFonts w:eastAsia="Times New Roman" w:cstheme="minorHAnsi"/>
          <w:sz w:val="18"/>
          <w:szCs w:val="24"/>
          <w:shd w:val="clear" w:color="auto" w:fill="FFFFFF"/>
        </w:rPr>
        <w:t>Lower &amp; Upper quartiles – the levels between which you are 50% sure the average shift in the proportion lies.</w:t>
      </w:r>
    </w:p>
    <w:p w:rsidR="00CE0D7A" w:rsidRDefault="0080068E" w:rsidP="0080068E">
      <w:pPr>
        <w:spacing w:after="0" w:line="360" w:lineRule="auto"/>
        <w:jc w:val="both"/>
        <w:rPr>
          <w:rFonts w:eastAsia="Times New Roman" w:cstheme="minorHAnsi"/>
          <w:sz w:val="18"/>
          <w:szCs w:val="24"/>
          <w:shd w:val="clear" w:color="auto" w:fill="FFFFFF"/>
        </w:rPr>
      </w:pPr>
      <w:proofErr w:type="gramStart"/>
      <w:r w:rsidRPr="00880318">
        <w:rPr>
          <w:rFonts w:eastAsia="Times New Roman" w:cstheme="minorHAnsi"/>
          <w:sz w:val="18"/>
          <w:szCs w:val="24"/>
          <w:shd w:val="clear" w:color="auto" w:fill="FFFFFF"/>
        </w:rPr>
        <w:t>To help you to complete Table 4, we provide an example which corresponds to a hypothetical expert who thinks that the smallest possible value (minimum) for the average shift in the proportion is -5% (i.e. the proportion of mothers with emotional distress in respondents is higher by 5% than non-respondents) and the maximum possible value is 20% (i.e. the proportion of mothers who were emotionally distressed is higher in non-respondents by 20% than respondents).</w:t>
      </w:r>
      <w:proofErr w:type="gramEnd"/>
      <w:r w:rsidRPr="00880318">
        <w:rPr>
          <w:rFonts w:eastAsia="Times New Roman" w:cstheme="minorHAnsi"/>
          <w:sz w:val="18"/>
          <w:szCs w:val="24"/>
          <w:shd w:val="clear" w:color="auto" w:fill="FFFFFF"/>
        </w:rPr>
        <w:t xml:space="preserve"> She believes that the most probable value of the average shift in the proportion between non-respondents and respondents would be 5% (median shown in red), but could be varied from 3% (lower quartile shown in green) up to 9% (upper quartile shown in blue). </w:t>
      </w:r>
    </w:p>
    <w:p w:rsidR="0080068E" w:rsidRPr="00880318" w:rsidRDefault="0080068E" w:rsidP="0080068E">
      <w:pPr>
        <w:spacing w:after="0" w:line="360" w:lineRule="auto"/>
        <w:jc w:val="both"/>
        <w:rPr>
          <w:rFonts w:cstheme="minorHAnsi"/>
          <w:sz w:val="18"/>
          <w:szCs w:val="21"/>
          <w:shd w:val="clear" w:color="auto" w:fill="FFFFFF"/>
        </w:rPr>
      </w:pPr>
      <w:r w:rsidRPr="00880318">
        <w:rPr>
          <w:rFonts w:eastAsia="Times New Roman" w:cstheme="minorHAnsi"/>
          <w:sz w:val="18"/>
          <w:szCs w:val="24"/>
          <w:shd w:val="clear" w:color="auto" w:fill="FFFFFF"/>
        </w:rPr>
        <w:t xml:space="preserve">Figure 2 shows the expert’s probability distribution function for the average change in the proportion of mother’s emotional distress at 4-5 years between LSAC non-respondents and respondents. The values </w:t>
      </w:r>
      <w:proofErr w:type="gramStart"/>
      <w:r w:rsidRPr="00880318">
        <w:rPr>
          <w:rFonts w:eastAsia="Times New Roman" w:cstheme="minorHAnsi"/>
          <w:sz w:val="18"/>
          <w:szCs w:val="24"/>
          <w:shd w:val="clear" w:color="auto" w:fill="FFFFFF"/>
        </w:rPr>
        <w:t>are also given</w:t>
      </w:r>
      <w:proofErr w:type="gramEnd"/>
      <w:r w:rsidRPr="00880318">
        <w:rPr>
          <w:rFonts w:eastAsia="Times New Roman" w:cstheme="minorHAnsi"/>
          <w:sz w:val="18"/>
          <w:szCs w:val="24"/>
          <w:shd w:val="clear" w:color="auto" w:fill="FFFFFF"/>
        </w:rPr>
        <w:t xml:space="preserve"> in Table 4.</w:t>
      </w:r>
    </w:p>
    <w:p w:rsidR="0080068E" w:rsidRPr="00880318" w:rsidRDefault="00CE0D7A" w:rsidP="0080068E">
      <w:pPr>
        <w:spacing w:after="0" w:line="360" w:lineRule="auto"/>
        <w:jc w:val="center"/>
        <w:rPr>
          <w:rFonts w:cstheme="minorHAnsi"/>
          <w:sz w:val="18"/>
          <w:szCs w:val="21"/>
          <w:shd w:val="clear" w:color="auto" w:fill="FFFFFF"/>
        </w:rPr>
      </w:pPr>
      <w:r>
        <w:rPr>
          <w:noProof/>
        </w:rPr>
        <w:lastRenderedPageBreak/>
        <w:drawing>
          <wp:inline distT="0" distB="0" distL="0" distR="0" wp14:anchorId="51FEBB09" wp14:editId="5719B788">
            <wp:extent cx="3886200" cy="1848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6200" cy="1848485"/>
                    </a:xfrm>
                    <a:prstGeom prst="rect">
                      <a:avLst/>
                    </a:prstGeom>
                  </pic:spPr>
                </pic:pic>
              </a:graphicData>
            </a:graphic>
          </wp:inline>
        </w:drawing>
      </w:r>
    </w:p>
    <w:p w:rsidR="0080068E" w:rsidRPr="00A461FF" w:rsidRDefault="0080068E" w:rsidP="0080068E">
      <w:pPr>
        <w:pStyle w:val="Caption"/>
        <w:spacing w:after="0"/>
        <w:jc w:val="both"/>
        <w:rPr>
          <w:rFonts w:cstheme="minorHAnsi"/>
          <w:color w:val="000000" w:themeColor="text1"/>
        </w:rPr>
      </w:pPr>
      <w:r w:rsidRPr="00A461FF">
        <w:rPr>
          <w:rFonts w:eastAsia="Times New Roman" w:cstheme="minorHAnsi"/>
          <w:color w:val="000000" w:themeColor="text1"/>
        </w:rPr>
        <w:t xml:space="preserve">Figure </w:t>
      </w:r>
      <w:proofErr w:type="gramStart"/>
      <w:r w:rsidRPr="00A461FF">
        <w:rPr>
          <w:rFonts w:eastAsia="Times New Roman" w:cstheme="minorHAnsi"/>
          <w:color w:val="000000" w:themeColor="text1"/>
        </w:rPr>
        <w:t>2</w:t>
      </w:r>
      <w:proofErr w:type="gramEnd"/>
      <w:r w:rsidRPr="00A461FF">
        <w:rPr>
          <w:rFonts w:eastAsia="Times New Roman" w:cstheme="minorHAnsi"/>
          <w:color w:val="000000" w:themeColor="text1"/>
        </w:rPr>
        <w:t xml:space="preserve"> </w:t>
      </w:r>
      <w:r w:rsidRPr="00A461FF">
        <w:rPr>
          <w:rFonts w:eastAsia="Times New Roman" w:cstheme="minorHAnsi"/>
          <w:b w:val="0"/>
          <w:bCs w:val="0"/>
          <w:color w:val="000000" w:themeColor="text1"/>
        </w:rPr>
        <w:t>Hypothetical example of expert’s probability density function for the average change in the proportion of maternal emotional distress at 4-5 years between non-respondents and respondents.</w:t>
      </w:r>
    </w:p>
    <w:p w:rsidR="0080068E" w:rsidRPr="00880318" w:rsidRDefault="0080068E" w:rsidP="0080068E">
      <w:pPr>
        <w:rPr>
          <w:rFonts w:cstheme="minorHAnsi"/>
          <w:sz w:val="16"/>
        </w:rPr>
      </w:pPr>
    </w:p>
    <w:p w:rsidR="0080068E" w:rsidRPr="00880318" w:rsidRDefault="0080068E" w:rsidP="0080068E">
      <w:pPr>
        <w:spacing w:after="0"/>
        <w:jc w:val="center"/>
        <w:rPr>
          <w:rFonts w:eastAsia="Times New Roman" w:cstheme="minorHAnsi"/>
          <w:szCs w:val="24"/>
        </w:rPr>
      </w:pPr>
      <w:r w:rsidRPr="00880318">
        <w:rPr>
          <w:rFonts w:eastAsia="Times New Roman" w:cstheme="minorHAnsi"/>
          <w:sz w:val="18"/>
          <w:szCs w:val="24"/>
        </w:rPr>
        <w:t>THANK YOU FOR YOUR TIME AND HELP</w:t>
      </w:r>
    </w:p>
    <w:p w:rsidR="00BD47F7" w:rsidRPr="00880318" w:rsidRDefault="00BD47F7">
      <w:pPr>
        <w:rPr>
          <w:rFonts w:cstheme="minorHAnsi"/>
        </w:rPr>
      </w:pPr>
    </w:p>
    <w:sectPr w:rsidR="00BD47F7" w:rsidRPr="00880318" w:rsidSect="0080068E">
      <w:footerReference w:type="default" r:id="rId9"/>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64" w:rsidRDefault="00A94C64" w:rsidP="0080068E">
      <w:pPr>
        <w:spacing w:after="0" w:line="240" w:lineRule="auto"/>
      </w:pPr>
      <w:r>
        <w:separator/>
      </w:r>
    </w:p>
  </w:endnote>
  <w:endnote w:type="continuationSeparator" w:id="0">
    <w:p w:rsidR="00A94C64" w:rsidRDefault="00A94C64" w:rsidP="0080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Microsoft Yi Ba">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328187"/>
      <w:docPartObj>
        <w:docPartGallery w:val="Page Numbers (Bottom of Page)"/>
        <w:docPartUnique/>
      </w:docPartObj>
    </w:sdtPr>
    <w:sdtEndPr>
      <w:rPr>
        <w:rFonts w:ascii="Times New Roman" w:hAnsi="Times New Roman" w:cs="Times New Roman"/>
        <w:noProof/>
      </w:rPr>
    </w:sdtEndPr>
    <w:sdtContent>
      <w:p w:rsidR="0080068E" w:rsidRPr="0080068E" w:rsidRDefault="0080068E">
        <w:pPr>
          <w:pStyle w:val="Footer"/>
          <w:jc w:val="center"/>
          <w:rPr>
            <w:rFonts w:ascii="Times New Roman" w:hAnsi="Times New Roman" w:cs="Times New Roman"/>
          </w:rPr>
        </w:pPr>
        <w:r w:rsidRPr="0080068E">
          <w:rPr>
            <w:rFonts w:ascii="Times New Roman" w:hAnsi="Times New Roman" w:cs="Times New Roman"/>
          </w:rPr>
          <w:fldChar w:fldCharType="begin"/>
        </w:r>
        <w:r w:rsidRPr="0080068E">
          <w:rPr>
            <w:rFonts w:ascii="Times New Roman" w:hAnsi="Times New Roman" w:cs="Times New Roman"/>
          </w:rPr>
          <w:instrText xml:space="preserve"> PAGE   \* MERGEFORMAT </w:instrText>
        </w:r>
        <w:r w:rsidRPr="0080068E">
          <w:rPr>
            <w:rFonts w:ascii="Times New Roman" w:hAnsi="Times New Roman" w:cs="Times New Roman"/>
          </w:rPr>
          <w:fldChar w:fldCharType="separate"/>
        </w:r>
        <w:r w:rsidR="00504614">
          <w:rPr>
            <w:rFonts w:ascii="Times New Roman" w:hAnsi="Times New Roman" w:cs="Times New Roman"/>
            <w:noProof/>
          </w:rPr>
          <w:t>4</w:t>
        </w:r>
        <w:r w:rsidRPr="0080068E">
          <w:rPr>
            <w:rFonts w:ascii="Times New Roman" w:hAnsi="Times New Roman" w:cs="Times New Roman"/>
            <w:noProof/>
          </w:rPr>
          <w:fldChar w:fldCharType="end"/>
        </w:r>
      </w:p>
    </w:sdtContent>
  </w:sdt>
  <w:p w:rsidR="0080068E" w:rsidRDefault="00800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64" w:rsidRDefault="00A94C64" w:rsidP="0080068E">
      <w:pPr>
        <w:spacing w:after="0" w:line="240" w:lineRule="auto"/>
      </w:pPr>
      <w:r>
        <w:separator/>
      </w:r>
    </w:p>
  </w:footnote>
  <w:footnote w:type="continuationSeparator" w:id="0">
    <w:p w:rsidR="00A94C64" w:rsidRDefault="00A94C64" w:rsidP="008006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83508"/>
    <w:multiLevelType w:val="hybridMultilevel"/>
    <w:tmpl w:val="7F9C0D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8E"/>
    <w:rsid w:val="00031129"/>
    <w:rsid w:val="00034698"/>
    <w:rsid w:val="000B3097"/>
    <w:rsid w:val="000C69FA"/>
    <w:rsid w:val="00135C9B"/>
    <w:rsid w:val="00147B6A"/>
    <w:rsid w:val="001627A0"/>
    <w:rsid w:val="001630AB"/>
    <w:rsid w:val="0016603D"/>
    <w:rsid w:val="001955AF"/>
    <w:rsid w:val="001A0E0E"/>
    <w:rsid w:val="001B3DE4"/>
    <w:rsid w:val="001F1E12"/>
    <w:rsid w:val="001F69D9"/>
    <w:rsid w:val="0022324B"/>
    <w:rsid w:val="0023699F"/>
    <w:rsid w:val="002409D0"/>
    <w:rsid w:val="00261592"/>
    <w:rsid w:val="00274466"/>
    <w:rsid w:val="003068C3"/>
    <w:rsid w:val="00316963"/>
    <w:rsid w:val="003306B8"/>
    <w:rsid w:val="0033327C"/>
    <w:rsid w:val="00344592"/>
    <w:rsid w:val="00346E29"/>
    <w:rsid w:val="00392763"/>
    <w:rsid w:val="003E611D"/>
    <w:rsid w:val="003E66C0"/>
    <w:rsid w:val="003E6DD7"/>
    <w:rsid w:val="003F72E2"/>
    <w:rsid w:val="00426279"/>
    <w:rsid w:val="00452DEF"/>
    <w:rsid w:val="004B4503"/>
    <w:rsid w:val="00504614"/>
    <w:rsid w:val="005614CC"/>
    <w:rsid w:val="005D3D7F"/>
    <w:rsid w:val="005D7CAE"/>
    <w:rsid w:val="005E5FCA"/>
    <w:rsid w:val="006336E9"/>
    <w:rsid w:val="00680955"/>
    <w:rsid w:val="006867A5"/>
    <w:rsid w:val="00686E81"/>
    <w:rsid w:val="00691EB7"/>
    <w:rsid w:val="00693B04"/>
    <w:rsid w:val="006A6957"/>
    <w:rsid w:val="00706DA2"/>
    <w:rsid w:val="00721411"/>
    <w:rsid w:val="00732D87"/>
    <w:rsid w:val="00740C4F"/>
    <w:rsid w:val="00741E75"/>
    <w:rsid w:val="00747D1C"/>
    <w:rsid w:val="00772489"/>
    <w:rsid w:val="00774704"/>
    <w:rsid w:val="007973F5"/>
    <w:rsid w:val="007D3CA3"/>
    <w:rsid w:val="007F5E57"/>
    <w:rsid w:val="0080068E"/>
    <w:rsid w:val="00804366"/>
    <w:rsid w:val="00854C99"/>
    <w:rsid w:val="00880318"/>
    <w:rsid w:val="00897C9F"/>
    <w:rsid w:val="008A0698"/>
    <w:rsid w:val="008A4523"/>
    <w:rsid w:val="008C51E9"/>
    <w:rsid w:val="008D7EAC"/>
    <w:rsid w:val="008E0571"/>
    <w:rsid w:val="008F2F67"/>
    <w:rsid w:val="00957F4F"/>
    <w:rsid w:val="0097573A"/>
    <w:rsid w:val="009904A3"/>
    <w:rsid w:val="00A01BCD"/>
    <w:rsid w:val="00A312BB"/>
    <w:rsid w:val="00A35868"/>
    <w:rsid w:val="00A461FF"/>
    <w:rsid w:val="00A62E0C"/>
    <w:rsid w:val="00A67BAB"/>
    <w:rsid w:val="00A94C64"/>
    <w:rsid w:val="00B07770"/>
    <w:rsid w:val="00B17327"/>
    <w:rsid w:val="00B82554"/>
    <w:rsid w:val="00B87000"/>
    <w:rsid w:val="00B92703"/>
    <w:rsid w:val="00BD1987"/>
    <w:rsid w:val="00BD47F7"/>
    <w:rsid w:val="00BE17C2"/>
    <w:rsid w:val="00BF056D"/>
    <w:rsid w:val="00BF094D"/>
    <w:rsid w:val="00BF3CD5"/>
    <w:rsid w:val="00C12F51"/>
    <w:rsid w:val="00C64555"/>
    <w:rsid w:val="00C664A6"/>
    <w:rsid w:val="00C93B99"/>
    <w:rsid w:val="00CB14AD"/>
    <w:rsid w:val="00CC5F98"/>
    <w:rsid w:val="00CD72E2"/>
    <w:rsid w:val="00CE0D7A"/>
    <w:rsid w:val="00D00EB6"/>
    <w:rsid w:val="00D2617E"/>
    <w:rsid w:val="00D50C13"/>
    <w:rsid w:val="00D66294"/>
    <w:rsid w:val="00D85342"/>
    <w:rsid w:val="00D87BF4"/>
    <w:rsid w:val="00D928EE"/>
    <w:rsid w:val="00D95984"/>
    <w:rsid w:val="00DA7B83"/>
    <w:rsid w:val="00DB2240"/>
    <w:rsid w:val="00DD1DF8"/>
    <w:rsid w:val="00DF5738"/>
    <w:rsid w:val="00E02107"/>
    <w:rsid w:val="00E27A7E"/>
    <w:rsid w:val="00E37E6E"/>
    <w:rsid w:val="00E81912"/>
    <w:rsid w:val="00E83A21"/>
    <w:rsid w:val="00EB0471"/>
    <w:rsid w:val="00EB562B"/>
    <w:rsid w:val="00F209E2"/>
    <w:rsid w:val="00F21336"/>
    <w:rsid w:val="00F93935"/>
    <w:rsid w:val="00FB6B79"/>
    <w:rsid w:val="00FC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DA1BF"/>
  <w15:chartTrackingRefBased/>
  <w15:docId w15:val="{B034D269-3D0A-485F-8334-923A6472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068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8E"/>
    <w:rPr>
      <w:rFonts w:asciiTheme="majorHAnsi" w:eastAsiaTheme="majorEastAsia" w:hAnsiTheme="majorHAnsi" w:cstheme="majorBidi"/>
      <w:b/>
      <w:bCs/>
      <w:color w:val="2E74B5" w:themeColor="accent1" w:themeShade="BF"/>
      <w:sz w:val="28"/>
      <w:szCs w:val="28"/>
      <w:lang w:val="en-AU"/>
    </w:rPr>
  </w:style>
  <w:style w:type="paragraph" w:styleId="ListParagraph">
    <w:name w:val="List Paragraph"/>
    <w:basedOn w:val="Normal"/>
    <w:uiPriority w:val="34"/>
    <w:qFormat/>
    <w:rsid w:val="0080068E"/>
    <w:pPr>
      <w:spacing w:after="200" w:line="276" w:lineRule="auto"/>
      <w:ind w:left="720"/>
      <w:contextualSpacing/>
    </w:pPr>
    <w:rPr>
      <w:lang w:val="en-AU"/>
    </w:rPr>
  </w:style>
  <w:style w:type="table" w:styleId="TableGrid">
    <w:name w:val="Table Grid"/>
    <w:basedOn w:val="TableNormal"/>
    <w:uiPriority w:val="59"/>
    <w:rsid w:val="0080068E"/>
    <w:pPr>
      <w:spacing w:after="0" w:line="240" w:lineRule="auto"/>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80068E"/>
    <w:pPr>
      <w:spacing w:after="200" w:line="240" w:lineRule="auto"/>
    </w:pPr>
    <w:rPr>
      <w:b/>
      <w:bCs/>
      <w:color w:val="5B9BD5" w:themeColor="accent1"/>
      <w:sz w:val="18"/>
      <w:szCs w:val="18"/>
      <w:lang w:val="en-AU"/>
    </w:rPr>
  </w:style>
  <w:style w:type="character" w:customStyle="1" w:styleId="CaptionChar">
    <w:name w:val="Caption Char"/>
    <w:basedOn w:val="DefaultParagraphFont"/>
    <w:link w:val="Caption"/>
    <w:uiPriority w:val="35"/>
    <w:rsid w:val="0080068E"/>
    <w:rPr>
      <w:b/>
      <w:bCs/>
      <w:color w:val="5B9BD5" w:themeColor="accent1"/>
      <w:sz w:val="18"/>
      <w:szCs w:val="18"/>
      <w:lang w:val="en-AU"/>
    </w:rPr>
  </w:style>
  <w:style w:type="paragraph" w:styleId="Header">
    <w:name w:val="header"/>
    <w:basedOn w:val="Normal"/>
    <w:link w:val="HeaderChar"/>
    <w:uiPriority w:val="99"/>
    <w:unhideWhenUsed/>
    <w:rsid w:val="0080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68E"/>
  </w:style>
  <w:style w:type="paragraph" w:styleId="Footer">
    <w:name w:val="footer"/>
    <w:basedOn w:val="Normal"/>
    <w:link w:val="FooterChar"/>
    <w:uiPriority w:val="99"/>
    <w:unhideWhenUsed/>
    <w:rsid w:val="0080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Panteha Rezvan</dc:creator>
  <cp:keywords/>
  <dc:description/>
  <cp:lastModifiedBy>Panteha Rezvan</cp:lastModifiedBy>
  <cp:revision>12</cp:revision>
  <dcterms:created xsi:type="dcterms:W3CDTF">2018-02-12T17:45:00Z</dcterms:created>
  <dcterms:modified xsi:type="dcterms:W3CDTF">2018-02-13T19:53:00Z</dcterms:modified>
</cp:coreProperties>
</file>